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B53CDD" w14:textId="77777777" w:rsidR="00E73CDB" w:rsidRDefault="00000000">
      <w:pPr>
        <w:pStyle w:val="Ttulo1"/>
        <w:spacing w:line="240" w:lineRule="auto"/>
        <w:ind w:left="-630"/>
        <w:rPr>
          <w:sz w:val="36"/>
          <w:szCs w:val="36"/>
        </w:rPr>
      </w:pPr>
      <w:bookmarkStart w:id="0" w:name="_31h0dmiql3mr"/>
      <w:bookmarkEnd w:id="0"/>
      <w:r>
        <w:rPr>
          <w:sz w:val="36"/>
        </w:rPr>
        <w:t>4.1 FUNÇÕES COMERCIAIS ESSENCIAIS</w:t>
      </w:r>
    </w:p>
    <w:p w14:paraId="40B53CDE" w14:textId="77777777" w:rsidR="00E73CDB" w:rsidRDefault="00000000">
      <w:pPr>
        <w:spacing w:before="200" w:after="200" w:line="240" w:lineRule="auto"/>
        <w:ind w:left="-630" w:right="-630"/>
        <w:rPr>
          <w:rFonts w:ascii="Lora" w:eastAsia="Lora" w:hAnsi="Lora" w:cs="Lora"/>
          <w:sz w:val="20"/>
          <w:szCs w:val="20"/>
        </w:rPr>
      </w:pPr>
      <w:r>
        <w:rPr>
          <w:rFonts w:ascii="Lora" w:hAnsi="Lora"/>
          <w:sz w:val="20"/>
        </w:rPr>
        <w:t xml:space="preserve">Faça uma lista das Funções comerciais essenciais que a sua organização precisa manter ou retomar rapidamente após um incidente, para evitar prejuízos ou a falência da empresa. </w:t>
      </w:r>
    </w:p>
    <w:tbl>
      <w:tblPr>
        <w:tblStyle w:val="a"/>
        <w:tblW w:w="10605" w:type="dxa"/>
        <w:tblInd w:w="-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40"/>
        <w:gridCol w:w="3510"/>
        <w:gridCol w:w="3255"/>
      </w:tblGrid>
      <w:tr w:rsidR="00E73CDB" w14:paraId="40B53CE2" w14:textId="77777777">
        <w:trPr>
          <w:trHeight w:val="1771"/>
        </w:trPr>
        <w:tc>
          <w:tcPr>
            <w:tcW w:w="3840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B53CDF" w14:textId="1F4000F2" w:rsidR="00E73CDB" w:rsidRDefault="00000000">
            <w:pPr>
              <w:spacing w:line="240" w:lineRule="auto"/>
              <w:ind w:left="60"/>
              <w:rPr>
                <w:rFonts w:ascii="Lora" w:eastAsia="Lora" w:hAnsi="Lora" w:cs="Lora"/>
                <w:b/>
              </w:rPr>
            </w:pPr>
            <w:r>
              <w:rPr>
                <w:rFonts w:ascii="Lora" w:hAnsi="Lora"/>
                <w:b/>
              </w:rPr>
              <w:t xml:space="preserve">Função comercial essencial: </w:t>
            </w:r>
            <w:r w:rsidR="00EF216E">
              <w:rPr>
                <w:rFonts w:ascii="Lora" w:hAnsi="Lora"/>
                <w:sz w:val="20"/>
              </w:rPr>
              <w:t>q</w:t>
            </w:r>
            <w:r>
              <w:rPr>
                <w:rFonts w:ascii="Lora" w:hAnsi="Lora"/>
                <w:sz w:val="20"/>
              </w:rPr>
              <w:t xml:space="preserve">uais são os produtos e serviços principais da sua empresa que geram receita ou servem os clientes? Quais processos são essenciais para suas operações e facilitam a entrega de seus produtos ou serviços? </w:t>
            </w:r>
          </w:p>
        </w:tc>
        <w:tc>
          <w:tcPr>
            <w:tcW w:w="3510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B53CE0" w14:textId="77777777" w:rsidR="00E73CDB" w:rsidRDefault="00000000">
            <w:pPr>
              <w:spacing w:line="240" w:lineRule="auto"/>
              <w:ind w:left="90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b/>
              </w:rPr>
              <w:t>Prioridade de retomada:</w:t>
            </w:r>
            <w:r>
              <w:rPr>
                <w:rFonts w:ascii="Lora" w:hAnsi="Lora"/>
              </w:rPr>
              <w:t xml:space="preserve"> </w:t>
            </w:r>
            <w:r>
              <w:rPr>
                <w:rFonts w:ascii="Lora" w:hAnsi="Lora"/>
                <w:sz w:val="20"/>
              </w:rPr>
              <w:t xml:space="preserve">o quanto essa função é essencial? Considere épocas nas quais um incidente teria maior impacto (por exemplo, estação do ano, fim </w:t>
            </w:r>
            <w:r>
              <w:rPr>
                <w:rFonts w:ascii="Lora" w:hAnsi="Lora"/>
                <w:sz w:val="20"/>
              </w:rPr>
              <w:br/>
              <w:t xml:space="preserve">de mês/trimestre etc.). </w:t>
            </w:r>
          </w:p>
        </w:tc>
        <w:tc>
          <w:tcPr>
            <w:tcW w:w="3255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B53CE1" w14:textId="77777777" w:rsidR="00E73CDB" w:rsidRDefault="00000000">
            <w:pPr>
              <w:spacing w:line="240" w:lineRule="auto"/>
              <w:ind w:left="90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b/>
              </w:rPr>
              <w:t>Meta de prazo de retomada:</w:t>
            </w:r>
            <w:r>
              <w:rPr>
                <w:rFonts w:ascii="Lora" w:hAnsi="Lora"/>
              </w:rPr>
              <w:t xml:space="preserve"> </w:t>
            </w:r>
            <w:r>
              <w:rPr>
                <w:rFonts w:ascii="Lora" w:hAnsi="Lora"/>
              </w:rPr>
              <w:br/>
            </w:r>
            <w:r>
              <w:rPr>
                <w:rFonts w:ascii="Lora" w:hAnsi="Lora"/>
                <w:sz w:val="20"/>
              </w:rPr>
              <w:t xml:space="preserve">por quanto tempo no máximo essa função pode ficar paralisada sem que ocorram impactos operacionais e/ou financeiros? </w:t>
            </w:r>
          </w:p>
        </w:tc>
      </w:tr>
      <w:tr w:rsidR="00E73CDB" w14:paraId="40B53CED" w14:textId="77777777">
        <w:tc>
          <w:tcPr>
            <w:tcW w:w="384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B53CE3" w14:textId="77777777" w:rsidR="00E73CDB" w:rsidRDefault="00E73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ora" w:eastAsia="Lora" w:hAnsi="Lora" w:cs="Lora"/>
              </w:rPr>
            </w:pPr>
          </w:p>
        </w:tc>
        <w:tc>
          <w:tcPr>
            <w:tcW w:w="351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B53CE4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 xml:space="preserve">Crítica </w:t>
            </w:r>
          </w:p>
          <w:p w14:paraId="40B53CE5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Alta</w:t>
            </w:r>
          </w:p>
          <w:p w14:paraId="40B53CE6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Média</w:t>
            </w:r>
          </w:p>
          <w:p w14:paraId="40B53CE7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Baixa</w:t>
            </w:r>
          </w:p>
        </w:tc>
        <w:tc>
          <w:tcPr>
            <w:tcW w:w="3255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B53CE8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Menos de 1 hora</w:t>
            </w:r>
          </w:p>
          <w:p w14:paraId="40B53CE9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1 a 8 horas</w:t>
            </w:r>
          </w:p>
          <w:p w14:paraId="40B53CEA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8 a 24 horas</w:t>
            </w:r>
          </w:p>
          <w:p w14:paraId="40B53CEB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24 a 72 horas</w:t>
            </w:r>
          </w:p>
          <w:p w14:paraId="40B53CEC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Mais de 72 horas</w:t>
            </w:r>
          </w:p>
        </w:tc>
      </w:tr>
      <w:tr w:rsidR="00E73CDB" w14:paraId="40B53CF8" w14:textId="77777777">
        <w:tc>
          <w:tcPr>
            <w:tcW w:w="384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B53CEE" w14:textId="77777777" w:rsidR="00E73CDB" w:rsidRDefault="00E73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ora" w:eastAsia="Lora" w:hAnsi="Lora" w:cs="Lora"/>
              </w:rPr>
            </w:pPr>
          </w:p>
        </w:tc>
        <w:tc>
          <w:tcPr>
            <w:tcW w:w="351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B53CEF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 xml:space="preserve">Crítica </w:t>
            </w:r>
          </w:p>
          <w:p w14:paraId="40B53CF0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Alta</w:t>
            </w:r>
          </w:p>
          <w:p w14:paraId="40B53CF1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Média</w:t>
            </w:r>
          </w:p>
          <w:p w14:paraId="40B53CF2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Baixa</w:t>
            </w:r>
          </w:p>
        </w:tc>
        <w:tc>
          <w:tcPr>
            <w:tcW w:w="3255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B53CF3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Menos de 1 hora</w:t>
            </w:r>
          </w:p>
          <w:p w14:paraId="40B53CF4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1 a 8 horas</w:t>
            </w:r>
          </w:p>
          <w:p w14:paraId="40B53CF5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8 a 24 horas</w:t>
            </w:r>
          </w:p>
          <w:p w14:paraId="40B53CF6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24 a 72 horas</w:t>
            </w:r>
          </w:p>
          <w:p w14:paraId="40B53CF7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Mais de 72 horas</w:t>
            </w:r>
          </w:p>
        </w:tc>
      </w:tr>
      <w:tr w:rsidR="00E73CDB" w14:paraId="40B53D03" w14:textId="77777777">
        <w:tc>
          <w:tcPr>
            <w:tcW w:w="384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B53CF9" w14:textId="77777777" w:rsidR="00E73CDB" w:rsidRDefault="00E73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ora" w:eastAsia="Lora" w:hAnsi="Lora" w:cs="Lora"/>
              </w:rPr>
            </w:pPr>
          </w:p>
        </w:tc>
        <w:tc>
          <w:tcPr>
            <w:tcW w:w="351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B53CFA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 xml:space="preserve">Crítica </w:t>
            </w:r>
          </w:p>
          <w:p w14:paraId="40B53CFB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Alta</w:t>
            </w:r>
          </w:p>
          <w:p w14:paraId="40B53CFC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Média</w:t>
            </w:r>
          </w:p>
          <w:p w14:paraId="40B53CFD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Baixa</w:t>
            </w:r>
          </w:p>
        </w:tc>
        <w:tc>
          <w:tcPr>
            <w:tcW w:w="3255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B53CFE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Menos de 1 hora</w:t>
            </w:r>
          </w:p>
          <w:p w14:paraId="40B53CFF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1 a 8 horas</w:t>
            </w:r>
          </w:p>
          <w:p w14:paraId="40B53D00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8 a 24 horas</w:t>
            </w:r>
          </w:p>
          <w:p w14:paraId="40B53D01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24 a 72 horas</w:t>
            </w:r>
          </w:p>
          <w:p w14:paraId="40B53D02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Mais de 72 horas</w:t>
            </w:r>
          </w:p>
        </w:tc>
      </w:tr>
      <w:tr w:rsidR="00E73CDB" w14:paraId="40B53D0E" w14:textId="77777777">
        <w:tc>
          <w:tcPr>
            <w:tcW w:w="384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B53D04" w14:textId="77777777" w:rsidR="00E73CDB" w:rsidRDefault="00E73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ora" w:eastAsia="Lora" w:hAnsi="Lora" w:cs="Lora"/>
              </w:rPr>
            </w:pPr>
          </w:p>
        </w:tc>
        <w:tc>
          <w:tcPr>
            <w:tcW w:w="351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B53D05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 xml:space="preserve">Crítica </w:t>
            </w:r>
          </w:p>
          <w:p w14:paraId="40B53D06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Alta</w:t>
            </w:r>
          </w:p>
          <w:p w14:paraId="40B53D07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Média</w:t>
            </w:r>
          </w:p>
          <w:p w14:paraId="40B53D08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Baixa</w:t>
            </w:r>
          </w:p>
        </w:tc>
        <w:tc>
          <w:tcPr>
            <w:tcW w:w="3255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B53D09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Menos de 1 hora</w:t>
            </w:r>
          </w:p>
          <w:p w14:paraId="40B53D0A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1 a 8 horas</w:t>
            </w:r>
          </w:p>
          <w:p w14:paraId="40B53D0B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8 a 24 horas</w:t>
            </w:r>
          </w:p>
          <w:p w14:paraId="40B53D0C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24 a 72 horas</w:t>
            </w:r>
          </w:p>
          <w:p w14:paraId="40B53D0D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Mais de 72 horas</w:t>
            </w:r>
          </w:p>
        </w:tc>
      </w:tr>
      <w:tr w:rsidR="00E73CDB" w14:paraId="40B53D19" w14:textId="77777777">
        <w:tc>
          <w:tcPr>
            <w:tcW w:w="384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B53D0F" w14:textId="77777777" w:rsidR="00E73CDB" w:rsidRDefault="00E73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ora" w:eastAsia="Lora" w:hAnsi="Lora" w:cs="Lora"/>
              </w:rPr>
            </w:pPr>
          </w:p>
        </w:tc>
        <w:tc>
          <w:tcPr>
            <w:tcW w:w="351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B53D10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 xml:space="preserve">Crítica </w:t>
            </w:r>
          </w:p>
          <w:p w14:paraId="40B53D11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Alta</w:t>
            </w:r>
          </w:p>
          <w:p w14:paraId="40B53D12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Média</w:t>
            </w:r>
          </w:p>
          <w:p w14:paraId="40B53D13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Baixa</w:t>
            </w:r>
          </w:p>
        </w:tc>
        <w:tc>
          <w:tcPr>
            <w:tcW w:w="3255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B53D14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Menos de 1 hora</w:t>
            </w:r>
          </w:p>
          <w:p w14:paraId="40B53D15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1 a 8 horas</w:t>
            </w:r>
          </w:p>
          <w:p w14:paraId="40B53D16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8 a 24 horas</w:t>
            </w:r>
          </w:p>
          <w:p w14:paraId="40B53D17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24 a 72 horas</w:t>
            </w:r>
          </w:p>
          <w:p w14:paraId="40B53D18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Mais de 72 horas</w:t>
            </w:r>
          </w:p>
        </w:tc>
      </w:tr>
      <w:tr w:rsidR="00E73CDB" w14:paraId="40B53D24" w14:textId="77777777">
        <w:tc>
          <w:tcPr>
            <w:tcW w:w="384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B53D1A" w14:textId="77777777" w:rsidR="00E73CDB" w:rsidRDefault="00E73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ora" w:eastAsia="Lora" w:hAnsi="Lora" w:cs="Lora"/>
              </w:rPr>
            </w:pPr>
          </w:p>
        </w:tc>
        <w:tc>
          <w:tcPr>
            <w:tcW w:w="351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B53D1B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 xml:space="preserve">Crítica </w:t>
            </w:r>
          </w:p>
          <w:p w14:paraId="40B53D1C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Alta</w:t>
            </w:r>
          </w:p>
          <w:p w14:paraId="40B53D1D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Média</w:t>
            </w:r>
          </w:p>
          <w:p w14:paraId="40B53D1E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Baixa</w:t>
            </w:r>
          </w:p>
        </w:tc>
        <w:tc>
          <w:tcPr>
            <w:tcW w:w="3255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B53D1F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Menos de 1 hora</w:t>
            </w:r>
          </w:p>
          <w:p w14:paraId="40B53D20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1 a 8 horas</w:t>
            </w:r>
          </w:p>
          <w:p w14:paraId="40B53D21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8 a 24 horas</w:t>
            </w:r>
          </w:p>
          <w:p w14:paraId="40B53D22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24 a 72 horas</w:t>
            </w:r>
          </w:p>
          <w:p w14:paraId="40B53D23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Mais de 72 horas</w:t>
            </w:r>
          </w:p>
        </w:tc>
      </w:tr>
    </w:tbl>
    <w:p w14:paraId="40B53D25" w14:textId="77777777" w:rsidR="00E73CDB" w:rsidRDefault="00E73CDB">
      <w:pPr>
        <w:spacing w:line="240" w:lineRule="auto"/>
        <w:rPr>
          <w:rFonts w:ascii="Lora" w:eastAsia="Lora" w:hAnsi="Lora" w:cs="Lora"/>
          <w:sz w:val="12"/>
          <w:szCs w:val="12"/>
        </w:rPr>
      </w:pPr>
    </w:p>
    <w:tbl>
      <w:tblPr>
        <w:tblStyle w:val="a0"/>
        <w:tblW w:w="10605" w:type="dxa"/>
        <w:tblInd w:w="-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40"/>
        <w:gridCol w:w="3510"/>
        <w:gridCol w:w="3255"/>
      </w:tblGrid>
      <w:tr w:rsidR="00E73CDB" w14:paraId="40B53D29" w14:textId="77777777">
        <w:trPr>
          <w:trHeight w:val="246"/>
        </w:trPr>
        <w:tc>
          <w:tcPr>
            <w:tcW w:w="3840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B53D26" w14:textId="77777777" w:rsidR="00E73CDB" w:rsidRDefault="00000000">
            <w:pPr>
              <w:spacing w:line="240" w:lineRule="auto"/>
              <w:rPr>
                <w:rFonts w:ascii="Lora" w:eastAsia="Lora" w:hAnsi="Lora" w:cs="Lora"/>
                <w:b/>
              </w:rPr>
            </w:pPr>
            <w:r>
              <w:rPr>
                <w:rFonts w:ascii="Lora" w:hAnsi="Lora"/>
                <w:b/>
              </w:rPr>
              <w:lastRenderedPageBreak/>
              <w:t>Função comercial essencial</w:t>
            </w:r>
          </w:p>
        </w:tc>
        <w:tc>
          <w:tcPr>
            <w:tcW w:w="3510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B53D27" w14:textId="77777777" w:rsidR="00E73CDB" w:rsidRDefault="00000000">
            <w:pPr>
              <w:spacing w:line="240" w:lineRule="auto"/>
              <w:rPr>
                <w:rFonts w:ascii="Lora" w:eastAsia="Lora" w:hAnsi="Lora" w:cs="Lora"/>
                <w:b/>
              </w:rPr>
            </w:pPr>
            <w:r>
              <w:rPr>
                <w:rFonts w:ascii="Lora" w:hAnsi="Lora"/>
                <w:b/>
              </w:rPr>
              <w:t>Prioridade de retomada</w:t>
            </w:r>
          </w:p>
        </w:tc>
        <w:tc>
          <w:tcPr>
            <w:tcW w:w="3255" w:type="dxa"/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B53D28" w14:textId="77777777" w:rsidR="00E73CDB" w:rsidRDefault="00000000">
            <w:pPr>
              <w:spacing w:line="240" w:lineRule="auto"/>
              <w:rPr>
                <w:rFonts w:ascii="Lora" w:eastAsia="Lora" w:hAnsi="Lora" w:cs="Lora"/>
                <w:b/>
              </w:rPr>
            </w:pPr>
            <w:r>
              <w:rPr>
                <w:rFonts w:ascii="Lora" w:hAnsi="Lora"/>
                <w:b/>
              </w:rPr>
              <w:t>Meta de prazo de retomada</w:t>
            </w:r>
          </w:p>
        </w:tc>
      </w:tr>
      <w:tr w:rsidR="00E73CDB" w14:paraId="40B53D34" w14:textId="77777777">
        <w:tc>
          <w:tcPr>
            <w:tcW w:w="384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B53D2A" w14:textId="77777777" w:rsidR="00E73CDB" w:rsidRDefault="00E73CDB">
            <w:pPr>
              <w:widowControl w:val="0"/>
              <w:spacing w:line="240" w:lineRule="auto"/>
              <w:rPr>
                <w:rFonts w:ascii="Lora" w:eastAsia="Lora" w:hAnsi="Lora" w:cs="Lora"/>
              </w:rPr>
            </w:pPr>
          </w:p>
        </w:tc>
        <w:tc>
          <w:tcPr>
            <w:tcW w:w="351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B53D2B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 xml:space="preserve">Crítica </w:t>
            </w:r>
          </w:p>
          <w:p w14:paraId="40B53D2C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Alta</w:t>
            </w:r>
          </w:p>
          <w:p w14:paraId="40B53D2D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Média</w:t>
            </w:r>
          </w:p>
          <w:p w14:paraId="40B53D2E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Baixa</w:t>
            </w:r>
          </w:p>
        </w:tc>
        <w:tc>
          <w:tcPr>
            <w:tcW w:w="3255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B53D2F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Menos de 1 hora</w:t>
            </w:r>
          </w:p>
          <w:p w14:paraId="40B53D30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1 a 8 horas</w:t>
            </w:r>
          </w:p>
          <w:p w14:paraId="40B53D31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8 a 24 horas</w:t>
            </w:r>
          </w:p>
          <w:p w14:paraId="40B53D32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24 a 72 horas</w:t>
            </w:r>
          </w:p>
          <w:p w14:paraId="40B53D33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Mais de 72 horas</w:t>
            </w:r>
          </w:p>
        </w:tc>
      </w:tr>
      <w:tr w:rsidR="00E73CDB" w14:paraId="40B53D3F" w14:textId="77777777">
        <w:tc>
          <w:tcPr>
            <w:tcW w:w="384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B53D35" w14:textId="77777777" w:rsidR="00E73CDB" w:rsidRDefault="00E73CDB">
            <w:pPr>
              <w:widowControl w:val="0"/>
              <w:spacing w:line="240" w:lineRule="auto"/>
              <w:rPr>
                <w:rFonts w:ascii="Lora" w:eastAsia="Lora" w:hAnsi="Lora" w:cs="Lora"/>
              </w:rPr>
            </w:pPr>
          </w:p>
        </w:tc>
        <w:tc>
          <w:tcPr>
            <w:tcW w:w="351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B53D36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 xml:space="preserve">Crítica </w:t>
            </w:r>
          </w:p>
          <w:p w14:paraId="40B53D37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Alta</w:t>
            </w:r>
          </w:p>
          <w:p w14:paraId="40B53D38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Média</w:t>
            </w:r>
          </w:p>
          <w:p w14:paraId="40B53D39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Baixa</w:t>
            </w:r>
          </w:p>
        </w:tc>
        <w:tc>
          <w:tcPr>
            <w:tcW w:w="3255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B53D3A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Menos de 1 hora</w:t>
            </w:r>
          </w:p>
          <w:p w14:paraId="40B53D3B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1 a 8 horas</w:t>
            </w:r>
          </w:p>
          <w:p w14:paraId="40B53D3C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8 a 24 horas</w:t>
            </w:r>
          </w:p>
          <w:p w14:paraId="40B53D3D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24 a 72 horas</w:t>
            </w:r>
          </w:p>
          <w:p w14:paraId="40B53D3E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Mais de 72 horas</w:t>
            </w:r>
          </w:p>
        </w:tc>
      </w:tr>
      <w:tr w:rsidR="00E73CDB" w14:paraId="40B53D4A" w14:textId="77777777">
        <w:tc>
          <w:tcPr>
            <w:tcW w:w="384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B53D40" w14:textId="77777777" w:rsidR="00E73CDB" w:rsidRDefault="00E73CDB">
            <w:pPr>
              <w:widowControl w:val="0"/>
              <w:spacing w:line="240" w:lineRule="auto"/>
              <w:rPr>
                <w:rFonts w:ascii="Lora" w:eastAsia="Lora" w:hAnsi="Lora" w:cs="Lora"/>
              </w:rPr>
            </w:pPr>
          </w:p>
        </w:tc>
        <w:tc>
          <w:tcPr>
            <w:tcW w:w="351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B53D41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 xml:space="preserve">Crítica </w:t>
            </w:r>
          </w:p>
          <w:p w14:paraId="40B53D42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Alta</w:t>
            </w:r>
          </w:p>
          <w:p w14:paraId="40B53D43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Média</w:t>
            </w:r>
          </w:p>
          <w:p w14:paraId="40B53D44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Baixa</w:t>
            </w:r>
          </w:p>
        </w:tc>
        <w:tc>
          <w:tcPr>
            <w:tcW w:w="3255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B53D45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Menos de 1 hora</w:t>
            </w:r>
          </w:p>
          <w:p w14:paraId="40B53D46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1 a 8 horas</w:t>
            </w:r>
          </w:p>
          <w:p w14:paraId="40B53D47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8 a 24 horas</w:t>
            </w:r>
          </w:p>
          <w:p w14:paraId="40B53D48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24 a 72 horas</w:t>
            </w:r>
          </w:p>
          <w:p w14:paraId="40B53D49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Mais de 72 horas</w:t>
            </w:r>
          </w:p>
        </w:tc>
      </w:tr>
      <w:tr w:rsidR="00E73CDB" w14:paraId="40B53D55" w14:textId="77777777">
        <w:tc>
          <w:tcPr>
            <w:tcW w:w="384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B53D4B" w14:textId="77777777" w:rsidR="00E73CDB" w:rsidRDefault="00E73CDB">
            <w:pPr>
              <w:widowControl w:val="0"/>
              <w:spacing w:line="240" w:lineRule="auto"/>
              <w:rPr>
                <w:rFonts w:ascii="Lora" w:eastAsia="Lora" w:hAnsi="Lora" w:cs="Lora"/>
              </w:rPr>
            </w:pPr>
          </w:p>
        </w:tc>
        <w:tc>
          <w:tcPr>
            <w:tcW w:w="351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B53D4C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 xml:space="preserve">Crítica </w:t>
            </w:r>
          </w:p>
          <w:p w14:paraId="40B53D4D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Alta</w:t>
            </w:r>
          </w:p>
          <w:p w14:paraId="40B53D4E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Média</w:t>
            </w:r>
          </w:p>
          <w:p w14:paraId="40B53D4F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Baixa</w:t>
            </w:r>
          </w:p>
        </w:tc>
        <w:tc>
          <w:tcPr>
            <w:tcW w:w="3255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B53D50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Menos de 1 hora</w:t>
            </w:r>
          </w:p>
          <w:p w14:paraId="40B53D51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1 a 8 horas</w:t>
            </w:r>
          </w:p>
          <w:p w14:paraId="40B53D52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8 a 24 horas</w:t>
            </w:r>
          </w:p>
          <w:p w14:paraId="40B53D53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24 a 72 horas</w:t>
            </w:r>
          </w:p>
          <w:p w14:paraId="40B53D54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Mais de 72 horas</w:t>
            </w:r>
          </w:p>
        </w:tc>
      </w:tr>
      <w:tr w:rsidR="00E73CDB" w14:paraId="40B53D60" w14:textId="77777777">
        <w:trPr>
          <w:trHeight w:val="1175"/>
        </w:trPr>
        <w:tc>
          <w:tcPr>
            <w:tcW w:w="384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B53D56" w14:textId="77777777" w:rsidR="00E73CDB" w:rsidRDefault="00E73CDB">
            <w:pPr>
              <w:widowControl w:val="0"/>
              <w:spacing w:line="240" w:lineRule="auto"/>
              <w:rPr>
                <w:rFonts w:ascii="Lora" w:eastAsia="Lora" w:hAnsi="Lora" w:cs="Lora"/>
              </w:rPr>
            </w:pPr>
          </w:p>
        </w:tc>
        <w:tc>
          <w:tcPr>
            <w:tcW w:w="351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B53D57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 xml:space="preserve">Crítica </w:t>
            </w:r>
          </w:p>
          <w:p w14:paraId="40B53D58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Alta</w:t>
            </w:r>
          </w:p>
          <w:p w14:paraId="40B53D59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Média</w:t>
            </w:r>
          </w:p>
          <w:p w14:paraId="40B53D5A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Baixa</w:t>
            </w:r>
          </w:p>
        </w:tc>
        <w:tc>
          <w:tcPr>
            <w:tcW w:w="3255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B53D5B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Menos de 1 hora</w:t>
            </w:r>
          </w:p>
          <w:p w14:paraId="40B53D5C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1 a 8 horas</w:t>
            </w:r>
          </w:p>
          <w:p w14:paraId="40B53D5D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8 a 24 horas</w:t>
            </w:r>
          </w:p>
          <w:p w14:paraId="40B53D5E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24 a 72 horas</w:t>
            </w:r>
          </w:p>
          <w:p w14:paraId="40B53D5F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Mais de 72 horas</w:t>
            </w:r>
          </w:p>
        </w:tc>
      </w:tr>
      <w:tr w:rsidR="00E73CDB" w14:paraId="40B53D6B" w14:textId="77777777">
        <w:trPr>
          <w:trHeight w:val="1056"/>
        </w:trPr>
        <w:tc>
          <w:tcPr>
            <w:tcW w:w="384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B53D61" w14:textId="77777777" w:rsidR="00E73CDB" w:rsidRDefault="00E73CDB">
            <w:pPr>
              <w:widowControl w:val="0"/>
              <w:spacing w:line="240" w:lineRule="auto"/>
              <w:rPr>
                <w:rFonts w:ascii="Lora" w:eastAsia="Lora" w:hAnsi="Lora" w:cs="Lora"/>
              </w:rPr>
            </w:pPr>
          </w:p>
        </w:tc>
        <w:tc>
          <w:tcPr>
            <w:tcW w:w="351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B53D62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 xml:space="preserve">Crítica </w:t>
            </w:r>
          </w:p>
          <w:p w14:paraId="40B53D63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Alta</w:t>
            </w:r>
          </w:p>
          <w:p w14:paraId="40B53D64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Média</w:t>
            </w:r>
          </w:p>
          <w:p w14:paraId="40B53D65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Baixa</w:t>
            </w:r>
          </w:p>
        </w:tc>
        <w:tc>
          <w:tcPr>
            <w:tcW w:w="3255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B53D66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Menos de 1 hora</w:t>
            </w:r>
          </w:p>
          <w:p w14:paraId="40B53D67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1 a 8 horas</w:t>
            </w:r>
          </w:p>
          <w:p w14:paraId="40B53D68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8 a 24 horas</w:t>
            </w:r>
          </w:p>
          <w:p w14:paraId="40B53D69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24 a 72 horas</w:t>
            </w:r>
          </w:p>
          <w:p w14:paraId="40B53D6A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Mais de 72 horas</w:t>
            </w:r>
          </w:p>
        </w:tc>
      </w:tr>
      <w:tr w:rsidR="00E73CDB" w14:paraId="40B53D76" w14:textId="77777777">
        <w:trPr>
          <w:trHeight w:val="744"/>
        </w:trPr>
        <w:tc>
          <w:tcPr>
            <w:tcW w:w="384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B53D6C" w14:textId="77777777" w:rsidR="00E73CDB" w:rsidRDefault="00E73CDB">
            <w:pPr>
              <w:widowControl w:val="0"/>
              <w:spacing w:line="240" w:lineRule="auto"/>
              <w:rPr>
                <w:rFonts w:ascii="Lora" w:eastAsia="Lora" w:hAnsi="Lora" w:cs="Lora"/>
              </w:rPr>
            </w:pPr>
          </w:p>
        </w:tc>
        <w:tc>
          <w:tcPr>
            <w:tcW w:w="351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B53D6D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 xml:space="preserve">Crítica </w:t>
            </w:r>
          </w:p>
          <w:p w14:paraId="40B53D6E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Alta</w:t>
            </w:r>
          </w:p>
          <w:p w14:paraId="40B53D6F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Média</w:t>
            </w:r>
          </w:p>
          <w:p w14:paraId="40B53D70" w14:textId="77777777" w:rsidR="00E73CDB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Baixa</w:t>
            </w:r>
          </w:p>
        </w:tc>
        <w:tc>
          <w:tcPr>
            <w:tcW w:w="3255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B53D71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Menos de 1 hora</w:t>
            </w:r>
          </w:p>
          <w:p w14:paraId="40B53D72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1 a 8 horas</w:t>
            </w:r>
          </w:p>
          <w:p w14:paraId="40B53D73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8 a 24 horas</w:t>
            </w:r>
          </w:p>
          <w:p w14:paraId="40B53D74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24 a 72 horas</w:t>
            </w:r>
          </w:p>
          <w:p w14:paraId="40B53D75" w14:textId="77777777" w:rsidR="00E73CDB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hAnsi="Lora"/>
                <w:sz w:val="20"/>
              </w:rPr>
              <w:t>Mais de 72 horas</w:t>
            </w:r>
          </w:p>
        </w:tc>
      </w:tr>
    </w:tbl>
    <w:p w14:paraId="40B53D77" w14:textId="77777777" w:rsidR="00E73CDB" w:rsidRDefault="00000000">
      <w:pPr>
        <w:spacing w:before="200" w:after="200"/>
      </w:pPr>
      <w:r>
        <w:br w:type="page"/>
      </w:r>
    </w:p>
    <w:p w14:paraId="40B53D78" w14:textId="77777777" w:rsidR="00E73CDB" w:rsidRDefault="00E73CDB">
      <w:pPr>
        <w:widowControl w:val="0"/>
        <w:rPr>
          <w:rFonts w:ascii="Arial" w:eastAsia="Arial" w:hAnsi="Arial" w:cs="Arial"/>
        </w:rPr>
      </w:pPr>
    </w:p>
    <w:tbl>
      <w:tblPr>
        <w:tblStyle w:val="a1"/>
        <w:tblW w:w="10545" w:type="dxa"/>
        <w:tblInd w:w="-615" w:type="dxa"/>
        <w:tblBorders>
          <w:top w:val="single" w:sz="8" w:space="0" w:color="9E9E9E"/>
          <w:left w:val="single" w:sz="8" w:space="0" w:color="9E9E9E"/>
          <w:bottom w:val="single" w:sz="8" w:space="0" w:color="9E9E9E"/>
          <w:right w:val="single" w:sz="8" w:space="0" w:color="9E9E9E"/>
          <w:insideH w:val="single" w:sz="8" w:space="0" w:color="9E9E9E"/>
          <w:insideV w:val="single" w:sz="8" w:space="0" w:color="9E9E9E"/>
        </w:tblBorders>
        <w:tblLayout w:type="fixed"/>
        <w:tblLook w:val="0600" w:firstRow="0" w:lastRow="0" w:firstColumn="0" w:lastColumn="0" w:noHBand="1" w:noVBand="1"/>
      </w:tblPr>
      <w:tblGrid>
        <w:gridCol w:w="5175"/>
        <w:gridCol w:w="5370"/>
      </w:tblGrid>
      <w:tr w:rsidR="00E73CDB" w14:paraId="40B53D7D" w14:textId="77777777">
        <w:trPr>
          <w:trHeight w:val="1455"/>
        </w:trPr>
        <w:tc>
          <w:tcPr>
            <w:tcW w:w="5175" w:type="dxa"/>
            <w:tcBorders>
              <w:top w:val="single" w:sz="8" w:space="0" w:color="9E9E9E"/>
              <w:left w:val="single" w:sz="8" w:space="0" w:color="9E9E9E"/>
              <w:bottom w:val="single" w:sz="8" w:space="0" w:color="091F2F"/>
              <w:right w:val="single" w:sz="8" w:space="0" w:color="9E9E9E"/>
            </w:tcBorders>
            <w:shd w:val="clear" w:color="auto" w:fill="EFEFE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0B53D79" w14:textId="77777777" w:rsidR="00E73CDB" w:rsidRDefault="00000000">
            <w:pPr>
              <w:widowControl w:val="0"/>
              <w:spacing w:line="240" w:lineRule="auto"/>
              <w:rPr>
                <w:rFonts w:ascii="Lora" w:eastAsia="Lora" w:hAnsi="Lora" w:cs="Lora"/>
                <w:b/>
                <w:sz w:val="26"/>
                <w:szCs w:val="26"/>
              </w:rPr>
            </w:pPr>
            <w:r>
              <w:rPr>
                <w:rFonts w:ascii="Lora" w:hAnsi="Lora"/>
                <w:b/>
                <w:sz w:val="26"/>
              </w:rPr>
              <w:t xml:space="preserve">Exemplos de funções </w:t>
            </w:r>
            <w:r>
              <w:rPr>
                <w:rFonts w:ascii="Lora" w:hAnsi="Lora"/>
                <w:b/>
                <w:sz w:val="26"/>
              </w:rPr>
              <w:br/>
              <w:t>comerciais essenciais</w:t>
            </w:r>
          </w:p>
        </w:tc>
        <w:tc>
          <w:tcPr>
            <w:tcW w:w="5370" w:type="dxa"/>
            <w:tcBorders>
              <w:top w:val="single" w:sz="8" w:space="0" w:color="9E9E9E"/>
              <w:left w:val="single" w:sz="8" w:space="0" w:color="9E9E9E"/>
              <w:bottom w:val="single" w:sz="8" w:space="0" w:color="091F2F"/>
              <w:right w:val="single" w:sz="8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0B53D7A" w14:textId="77777777" w:rsidR="00E73CDB" w:rsidRDefault="00000000">
            <w:pPr>
              <w:widowControl w:val="0"/>
              <w:spacing w:after="100" w:line="240" w:lineRule="auto"/>
              <w:rPr>
                <w:rFonts w:ascii="Lora" w:eastAsia="Lora" w:hAnsi="Lora" w:cs="Lora"/>
                <w:b/>
              </w:rPr>
            </w:pPr>
            <w:r>
              <w:rPr>
                <w:rFonts w:ascii="Lora" w:hAnsi="Lora"/>
                <w:b/>
              </w:rPr>
              <w:t>Instalações</w:t>
            </w:r>
          </w:p>
          <w:p w14:paraId="40B53D7B" w14:textId="19EB6FE6" w:rsidR="00E73CDB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Lora" w:eastAsia="Lora" w:hAnsi="Lora" w:cs="Lora"/>
              </w:rPr>
            </w:pPr>
            <w:r>
              <w:rPr>
                <w:rFonts w:ascii="Lora" w:hAnsi="Lora"/>
              </w:rPr>
              <w:t>Funcionamento e manutenção de aquecedores, ventiladores</w:t>
            </w:r>
            <w:r w:rsidR="00C15329">
              <w:rPr>
                <w:rFonts w:ascii="Lora" w:hAnsi="Lora"/>
              </w:rPr>
              <w:t xml:space="preserve"> </w:t>
            </w:r>
            <w:r>
              <w:rPr>
                <w:rFonts w:ascii="Lora" w:hAnsi="Lora"/>
              </w:rPr>
              <w:t>e aparelhos de ar-condicionado/iluminação/serviços públicos</w:t>
            </w:r>
          </w:p>
          <w:p w14:paraId="40B53D7C" w14:textId="77777777" w:rsidR="00E73CDB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Lora" w:eastAsia="Lora" w:hAnsi="Lora" w:cs="Lora"/>
              </w:rPr>
            </w:pPr>
            <w:r>
              <w:rPr>
                <w:rFonts w:ascii="Lora" w:hAnsi="Lora"/>
              </w:rPr>
              <w:t>Segurança física e patrimonial</w:t>
            </w:r>
          </w:p>
        </w:tc>
      </w:tr>
      <w:tr w:rsidR="00E73CDB" w14:paraId="40B53D86" w14:textId="77777777">
        <w:trPr>
          <w:trHeight w:val="1425"/>
        </w:trPr>
        <w:tc>
          <w:tcPr>
            <w:tcW w:w="5175" w:type="dxa"/>
            <w:tcBorders>
              <w:top w:val="single" w:sz="8" w:space="0" w:color="9E9E9E"/>
              <w:left w:val="single" w:sz="8" w:space="0" w:color="9E9E9E"/>
              <w:bottom w:val="single" w:sz="8" w:space="0" w:color="091F2F"/>
              <w:right w:val="single" w:sz="8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0B53D7E" w14:textId="77777777" w:rsidR="00E73CDB" w:rsidRDefault="00000000">
            <w:pPr>
              <w:widowControl w:val="0"/>
              <w:spacing w:after="100" w:line="240" w:lineRule="auto"/>
              <w:rPr>
                <w:rFonts w:ascii="Lora" w:eastAsia="Lora" w:hAnsi="Lora" w:cs="Lora"/>
                <w:b/>
              </w:rPr>
            </w:pPr>
            <w:r>
              <w:rPr>
                <w:rFonts w:ascii="Lora" w:hAnsi="Lora"/>
                <w:b/>
              </w:rPr>
              <w:t>Operações</w:t>
            </w:r>
          </w:p>
          <w:p w14:paraId="40B53D7F" w14:textId="77777777" w:rsidR="00E73CDB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Lora" w:eastAsia="Lora" w:hAnsi="Lora" w:cs="Lora"/>
              </w:rPr>
            </w:pPr>
            <w:r>
              <w:rPr>
                <w:rFonts w:ascii="Lora" w:hAnsi="Lora"/>
              </w:rPr>
              <w:t>Embalagem de pedidos</w:t>
            </w:r>
          </w:p>
          <w:p w14:paraId="40B53D80" w14:textId="77777777" w:rsidR="00E73CDB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Lora" w:eastAsia="Lora" w:hAnsi="Lora" w:cs="Lora"/>
              </w:rPr>
            </w:pPr>
            <w:r>
              <w:rPr>
                <w:rFonts w:ascii="Lora" w:hAnsi="Lora"/>
              </w:rPr>
              <w:t>Produção</w:t>
            </w:r>
          </w:p>
          <w:p w14:paraId="40B53D81" w14:textId="77777777" w:rsidR="00E73CDB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Lora" w:eastAsia="Lora" w:hAnsi="Lora" w:cs="Lora"/>
              </w:rPr>
            </w:pPr>
            <w:r>
              <w:rPr>
                <w:rFonts w:ascii="Lora" w:hAnsi="Lora"/>
              </w:rPr>
              <w:t>Prestação de serviços</w:t>
            </w:r>
          </w:p>
        </w:tc>
        <w:tc>
          <w:tcPr>
            <w:tcW w:w="5370" w:type="dxa"/>
            <w:tcBorders>
              <w:top w:val="single" w:sz="8" w:space="0" w:color="091F2F"/>
              <w:left w:val="single" w:sz="8" w:space="0" w:color="9E9E9E"/>
              <w:bottom w:val="single" w:sz="8" w:space="0" w:color="091F2F"/>
              <w:right w:val="single" w:sz="8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0B53D82" w14:textId="77777777" w:rsidR="00E73CDB" w:rsidRDefault="00000000">
            <w:pPr>
              <w:widowControl w:val="0"/>
              <w:spacing w:after="100" w:line="240" w:lineRule="auto"/>
              <w:rPr>
                <w:rFonts w:ascii="Lora" w:eastAsia="Lora" w:hAnsi="Lora" w:cs="Lora"/>
                <w:b/>
              </w:rPr>
            </w:pPr>
            <w:r>
              <w:rPr>
                <w:rFonts w:ascii="Lora" w:hAnsi="Lora"/>
                <w:b/>
              </w:rPr>
              <w:t>Departamento Jurídico/de Conformidade</w:t>
            </w:r>
          </w:p>
          <w:p w14:paraId="40B53D83" w14:textId="77777777" w:rsidR="00E73CDB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Lora" w:eastAsia="Lora" w:hAnsi="Lora" w:cs="Lora"/>
              </w:rPr>
            </w:pPr>
            <w:r>
              <w:rPr>
                <w:rFonts w:ascii="Lora" w:hAnsi="Lora"/>
              </w:rPr>
              <w:t>Gestão de contratos</w:t>
            </w:r>
          </w:p>
          <w:p w14:paraId="40B53D84" w14:textId="77777777" w:rsidR="00E73CDB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Lora" w:eastAsia="Lora" w:hAnsi="Lora" w:cs="Lora"/>
              </w:rPr>
            </w:pPr>
            <w:r>
              <w:rPr>
                <w:rFonts w:ascii="Lora" w:hAnsi="Lora"/>
              </w:rPr>
              <w:t>Conformidade regulatória</w:t>
            </w:r>
          </w:p>
          <w:p w14:paraId="40B53D85" w14:textId="77777777" w:rsidR="00E73CDB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Lora" w:eastAsia="Lora" w:hAnsi="Lora" w:cs="Lora"/>
              </w:rPr>
            </w:pPr>
            <w:r>
              <w:rPr>
                <w:rFonts w:ascii="Lora" w:hAnsi="Lora"/>
              </w:rPr>
              <w:t>Relatórios</w:t>
            </w:r>
          </w:p>
        </w:tc>
      </w:tr>
      <w:tr w:rsidR="00E73CDB" w14:paraId="40B53D8F" w14:textId="77777777">
        <w:trPr>
          <w:trHeight w:val="1455"/>
        </w:trPr>
        <w:tc>
          <w:tcPr>
            <w:tcW w:w="5175" w:type="dxa"/>
            <w:tcBorders>
              <w:top w:val="single" w:sz="8" w:space="0" w:color="091F2F"/>
              <w:left w:val="single" w:sz="8" w:space="0" w:color="9E9E9E"/>
              <w:bottom w:val="single" w:sz="8" w:space="0" w:color="091F2F"/>
              <w:right w:val="single" w:sz="8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0B53D87" w14:textId="77777777" w:rsidR="00E73CDB" w:rsidRDefault="00000000">
            <w:pPr>
              <w:widowControl w:val="0"/>
              <w:spacing w:after="100" w:line="240" w:lineRule="auto"/>
              <w:rPr>
                <w:rFonts w:ascii="Lora" w:eastAsia="Lora" w:hAnsi="Lora" w:cs="Lora"/>
                <w:b/>
              </w:rPr>
            </w:pPr>
            <w:r>
              <w:rPr>
                <w:rFonts w:ascii="Lora" w:hAnsi="Lora"/>
                <w:b/>
              </w:rPr>
              <w:t>Recursos Humanos</w:t>
            </w:r>
          </w:p>
          <w:p w14:paraId="40B53D88" w14:textId="77777777" w:rsidR="00E73CDB" w:rsidRDefault="00000000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Lora" w:eastAsia="Lora" w:hAnsi="Lora" w:cs="Lora"/>
              </w:rPr>
            </w:pPr>
            <w:r>
              <w:rPr>
                <w:rFonts w:ascii="Lora" w:hAnsi="Lora"/>
              </w:rPr>
              <w:t>Escala de funcionários</w:t>
            </w:r>
          </w:p>
          <w:p w14:paraId="40B53D89" w14:textId="77777777" w:rsidR="00E73CDB" w:rsidRDefault="00000000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Lora" w:eastAsia="Lora" w:hAnsi="Lora" w:cs="Lora"/>
              </w:rPr>
            </w:pPr>
            <w:r>
              <w:rPr>
                <w:rFonts w:ascii="Lora" w:hAnsi="Lora"/>
              </w:rPr>
              <w:t>Manutenção de registros de funcionários</w:t>
            </w:r>
          </w:p>
          <w:p w14:paraId="40B53D8A" w14:textId="77777777" w:rsidR="00E73CDB" w:rsidRDefault="00000000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Lora" w:eastAsia="Lora" w:hAnsi="Lora" w:cs="Lora"/>
              </w:rPr>
            </w:pPr>
            <w:r>
              <w:rPr>
                <w:rFonts w:ascii="Lora" w:hAnsi="Lora"/>
              </w:rPr>
              <w:t>Gestão de sistemas de informações de RH</w:t>
            </w:r>
          </w:p>
        </w:tc>
        <w:tc>
          <w:tcPr>
            <w:tcW w:w="5370" w:type="dxa"/>
            <w:tcBorders>
              <w:top w:val="single" w:sz="8" w:space="0" w:color="091F2F"/>
              <w:left w:val="single" w:sz="8" w:space="0" w:color="9E9E9E"/>
              <w:bottom w:val="single" w:sz="8" w:space="0" w:color="091F2F"/>
              <w:right w:val="single" w:sz="8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0B53D8B" w14:textId="77777777" w:rsidR="00E73CDB" w:rsidRDefault="00000000">
            <w:pPr>
              <w:widowControl w:val="0"/>
              <w:spacing w:after="100" w:line="240" w:lineRule="auto"/>
              <w:rPr>
                <w:rFonts w:ascii="Lora" w:eastAsia="Lora" w:hAnsi="Lora" w:cs="Lora"/>
                <w:b/>
              </w:rPr>
            </w:pPr>
            <w:r>
              <w:rPr>
                <w:rFonts w:ascii="Lora" w:hAnsi="Lora"/>
                <w:b/>
              </w:rPr>
              <w:t>Finanças</w:t>
            </w:r>
          </w:p>
          <w:p w14:paraId="40B53D8C" w14:textId="77777777" w:rsidR="00E73CDB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Lora" w:eastAsia="Lora" w:hAnsi="Lora" w:cs="Lora"/>
              </w:rPr>
            </w:pPr>
            <w:r>
              <w:rPr>
                <w:rFonts w:ascii="Lora" w:hAnsi="Lora"/>
              </w:rPr>
              <w:t>Relatórios financeiros e orçamentos</w:t>
            </w:r>
          </w:p>
          <w:p w14:paraId="40B53D8D" w14:textId="77777777" w:rsidR="00E73CDB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Lora" w:eastAsia="Lora" w:hAnsi="Lora" w:cs="Lora"/>
              </w:rPr>
            </w:pPr>
            <w:r>
              <w:rPr>
                <w:rFonts w:ascii="Lora" w:hAnsi="Lora"/>
              </w:rPr>
              <w:t>Processamento de folha de pagamento</w:t>
            </w:r>
          </w:p>
          <w:p w14:paraId="40B53D8E" w14:textId="77777777" w:rsidR="00E73CDB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Lora" w:eastAsia="Lora" w:hAnsi="Lora" w:cs="Lora"/>
              </w:rPr>
            </w:pPr>
            <w:r>
              <w:rPr>
                <w:rFonts w:ascii="Lora" w:hAnsi="Lora"/>
              </w:rPr>
              <w:t>Contas a pagar/Contas a receber</w:t>
            </w:r>
          </w:p>
        </w:tc>
      </w:tr>
      <w:tr w:rsidR="00E73CDB" w14:paraId="40B53D99" w14:textId="77777777">
        <w:trPr>
          <w:trHeight w:val="1680"/>
        </w:trPr>
        <w:tc>
          <w:tcPr>
            <w:tcW w:w="5175" w:type="dxa"/>
            <w:tcBorders>
              <w:top w:val="single" w:sz="8" w:space="0" w:color="091F2F"/>
              <w:left w:val="single" w:sz="8" w:space="0" w:color="9E9E9E"/>
              <w:bottom w:val="single" w:sz="8" w:space="0" w:color="091F2F"/>
              <w:right w:val="single" w:sz="8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0B53D90" w14:textId="77777777" w:rsidR="00E73CDB" w:rsidRDefault="00000000">
            <w:pPr>
              <w:widowControl w:val="0"/>
              <w:spacing w:after="100" w:line="240" w:lineRule="auto"/>
              <w:rPr>
                <w:rFonts w:ascii="Lora" w:eastAsia="Lora" w:hAnsi="Lora" w:cs="Lora"/>
                <w:b/>
              </w:rPr>
            </w:pPr>
            <w:r>
              <w:rPr>
                <w:rFonts w:ascii="Lora" w:hAnsi="Lora"/>
                <w:b/>
              </w:rPr>
              <w:t>Marketing/Vendas</w:t>
            </w:r>
          </w:p>
          <w:p w14:paraId="40B53D91" w14:textId="77777777" w:rsidR="00E73CDB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Lora" w:eastAsia="Lora" w:hAnsi="Lora" w:cs="Lora"/>
              </w:rPr>
            </w:pPr>
            <w:r>
              <w:rPr>
                <w:rFonts w:ascii="Lora" w:hAnsi="Lora"/>
              </w:rPr>
              <w:t xml:space="preserve">Transações no ponto de venda </w:t>
            </w:r>
          </w:p>
          <w:p w14:paraId="40B53D92" w14:textId="77777777" w:rsidR="00E73CDB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Lora" w:eastAsia="Lora" w:hAnsi="Lora" w:cs="Lora"/>
              </w:rPr>
            </w:pPr>
            <w:r>
              <w:rPr>
                <w:rFonts w:ascii="Lora" w:hAnsi="Lora"/>
              </w:rPr>
              <w:t xml:space="preserve">Relações públicas </w:t>
            </w:r>
          </w:p>
          <w:p w14:paraId="40B53D93" w14:textId="77777777" w:rsidR="00E73CDB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Lora" w:eastAsia="Lora" w:hAnsi="Lora" w:cs="Lora"/>
              </w:rPr>
            </w:pPr>
            <w:r>
              <w:rPr>
                <w:rFonts w:ascii="Lora" w:hAnsi="Lora"/>
              </w:rPr>
              <w:t>Manutenção dos sistemas de comunicação</w:t>
            </w:r>
          </w:p>
          <w:p w14:paraId="40B53D94" w14:textId="77777777" w:rsidR="00E73CDB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Lora" w:eastAsia="Lora" w:hAnsi="Lora" w:cs="Lora"/>
              </w:rPr>
            </w:pPr>
            <w:r>
              <w:rPr>
                <w:rFonts w:ascii="Lora" w:hAnsi="Lora"/>
              </w:rPr>
              <w:t>Gestão de redes sociais e sites</w:t>
            </w:r>
          </w:p>
        </w:tc>
        <w:tc>
          <w:tcPr>
            <w:tcW w:w="5370" w:type="dxa"/>
            <w:tcBorders>
              <w:top w:val="single" w:sz="8" w:space="0" w:color="091F2F"/>
              <w:left w:val="single" w:sz="8" w:space="0" w:color="9E9E9E"/>
              <w:bottom w:val="single" w:sz="8" w:space="0" w:color="091F2F"/>
              <w:right w:val="single" w:sz="8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0B53D95" w14:textId="77777777" w:rsidR="00E73CDB" w:rsidRDefault="00000000">
            <w:pPr>
              <w:widowControl w:val="0"/>
              <w:spacing w:after="100" w:line="240" w:lineRule="auto"/>
              <w:rPr>
                <w:rFonts w:ascii="Lora" w:eastAsia="Lora" w:hAnsi="Lora" w:cs="Lora"/>
                <w:b/>
              </w:rPr>
            </w:pPr>
            <w:r>
              <w:rPr>
                <w:rFonts w:ascii="Lora" w:hAnsi="Lora"/>
                <w:b/>
              </w:rPr>
              <w:t>Gestão executiva/estratégica</w:t>
            </w:r>
          </w:p>
          <w:p w14:paraId="40B53D96" w14:textId="77777777" w:rsidR="00E73CDB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Lora" w:eastAsia="Lora" w:hAnsi="Lora" w:cs="Lora"/>
              </w:rPr>
            </w:pPr>
            <w:r>
              <w:rPr>
                <w:rFonts w:ascii="Lora" w:hAnsi="Lora"/>
              </w:rPr>
              <w:t>Decisões financeiras e operacionais</w:t>
            </w:r>
          </w:p>
          <w:p w14:paraId="40B53D97" w14:textId="77777777" w:rsidR="00E73CDB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Lora" w:eastAsia="Lora" w:hAnsi="Lora" w:cs="Lora"/>
              </w:rPr>
            </w:pPr>
            <w:r>
              <w:rPr>
                <w:rFonts w:ascii="Lora" w:hAnsi="Lora"/>
              </w:rPr>
              <w:t>Gestão de riscos</w:t>
            </w:r>
          </w:p>
          <w:p w14:paraId="40B53D98" w14:textId="77777777" w:rsidR="00E73CDB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Lora" w:eastAsia="Lora" w:hAnsi="Lora" w:cs="Lora"/>
              </w:rPr>
            </w:pPr>
            <w:r>
              <w:rPr>
                <w:rFonts w:ascii="Lora" w:hAnsi="Lora"/>
              </w:rPr>
              <w:t>Relações com as partes interessadas</w:t>
            </w:r>
          </w:p>
        </w:tc>
      </w:tr>
      <w:tr w:rsidR="00E73CDB" w14:paraId="40B53DA2" w14:textId="77777777">
        <w:trPr>
          <w:trHeight w:val="1476"/>
        </w:trPr>
        <w:tc>
          <w:tcPr>
            <w:tcW w:w="5175" w:type="dxa"/>
            <w:tcBorders>
              <w:top w:val="single" w:sz="8" w:space="0" w:color="9E9E9E"/>
              <w:left w:val="single" w:sz="8" w:space="0" w:color="9E9E9E"/>
              <w:bottom w:val="single" w:sz="8" w:space="0" w:color="091F2F"/>
              <w:right w:val="single" w:sz="8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0B53D9A" w14:textId="77777777" w:rsidR="00E73CDB" w:rsidRDefault="00000000">
            <w:pPr>
              <w:widowControl w:val="0"/>
              <w:spacing w:after="100" w:line="240" w:lineRule="auto"/>
              <w:rPr>
                <w:rFonts w:ascii="Lora" w:eastAsia="Lora" w:hAnsi="Lora" w:cs="Lora"/>
                <w:b/>
              </w:rPr>
            </w:pPr>
            <w:r>
              <w:rPr>
                <w:rFonts w:ascii="Lora" w:hAnsi="Lora"/>
                <w:b/>
              </w:rPr>
              <w:t>Cadeia de abastecimento/Logística</w:t>
            </w:r>
          </w:p>
          <w:p w14:paraId="40B53D9B" w14:textId="77777777" w:rsidR="00E73CDB" w:rsidRDefault="00000000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rFonts w:ascii="Lora" w:eastAsia="Lora" w:hAnsi="Lora" w:cs="Lora"/>
              </w:rPr>
            </w:pPr>
            <w:r>
              <w:rPr>
                <w:rFonts w:ascii="Lora" w:hAnsi="Lora"/>
              </w:rPr>
              <w:t>Estoque de suprimentos</w:t>
            </w:r>
          </w:p>
          <w:p w14:paraId="40B53D9C" w14:textId="77777777" w:rsidR="00E73CDB" w:rsidRDefault="00000000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rFonts w:ascii="Lora" w:eastAsia="Lora" w:hAnsi="Lora" w:cs="Lora"/>
              </w:rPr>
            </w:pPr>
            <w:r>
              <w:rPr>
                <w:rFonts w:ascii="Lora" w:hAnsi="Lora"/>
              </w:rPr>
              <w:t>Distribuição</w:t>
            </w:r>
          </w:p>
          <w:p w14:paraId="40B53D9D" w14:textId="77777777" w:rsidR="00E73CDB" w:rsidRDefault="00000000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rFonts w:ascii="Lora" w:eastAsia="Lora" w:hAnsi="Lora" w:cs="Lora"/>
              </w:rPr>
            </w:pPr>
            <w:r>
              <w:rPr>
                <w:rFonts w:ascii="Lora" w:hAnsi="Lora"/>
              </w:rPr>
              <w:t>Gestão de fornecedores/prestadores de serviços</w:t>
            </w:r>
          </w:p>
        </w:tc>
        <w:tc>
          <w:tcPr>
            <w:tcW w:w="5370" w:type="dxa"/>
            <w:tcBorders>
              <w:top w:val="single" w:sz="8" w:space="0" w:color="091F2F"/>
              <w:left w:val="single" w:sz="8" w:space="0" w:color="9E9E9E"/>
              <w:bottom w:val="single" w:sz="8" w:space="0" w:color="091F2F"/>
              <w:right w:val="single" w:sz="8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0B53D9E" w14:textId="77777777" w:rsidR="00E73CDB" w:rsidRDefault="00000000">
            <w:pPr>
              <w:widowControl w:val="0"/>
              <w:spacing w:after="100" w:line="240" w:lineRule="auto"/>
              <w:rPr>
                <w:rFonts w:ascii="Lora" w:eastAsia="Lora" w:hAnsi="Lora" w:cs="Lora"/>
                <w:b/>
              </w:rPr>
            </w:pPr>
            <w:r>
              <w:rPr>
                <w:rFonts w:ascii="Lora" w:hAnsi="Lora"/>
                <w:b/>
              </w:rPr>
              <w:t>Tecnologia da Informação</w:t>
            </w:r>
          </w:p>
          <w:p w14:paraId="40B53D9F" w14:textId="77777777" w:rsidR="00E73CDB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Lora" w:eastAsia="Lora" w:hAnsi="Lora" w:cs="Lora"/>
              </w:rPr>
            </w:pPr>
            <w:r>
              <w:rPr>
                <w:rFonts w:ascii="Lora" w:hAnsi="Lora"/>
              </w:rPr>
              <w:t>Gestão de dados</w:t>
            </w:r>
          </w:p>
          <w:p w14:paraId="40B53DA0" w14:textId="77777777" w:rsidR="00E73CDB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Lora" w:eastAsia="Lora" w:hAnsi="Lora" w:cs="Lora"/>
              </w:rPr>
            </w:pPr>
            <w:r>
              <w:rPr>
                <w:rFonts w:ascii="Lora" w:hAnsi="Lora"/>
              </w:rPr>
              <w:t>Acesso à internet</w:t>
            </w:r>
          </w:p>
          <w:p w14:paraId="40B53DA1" w14:textId="77777777" w:rsidR="00E73CDB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Lora" w:eastAsia="Lora" w:hAnsi="Lora" w:cs="Lora"/>
              </w:rPr>
            </w:pPr>
            <w:r>
              <w:rPr>
                <w:rFonts w:ascii="Lora" w:hAnsi="Lora"/>
              </w:rPr>
              <w:t xml:space="preserve">Cibersegurança </w:t>
            </w:r>
          </w:p>
        </w:tc>
      </w:tr>
    </w:tbl>
    <w:p w14:paraId="40B53DA3" w14:textId="77777777" w:rsidR="00E73CDB" w:rsidRDefault="00E73CDB">
      <w:pPr>
        <w:ind w:left="-630"/>
        <w:rPr>
          <w:rFonts w:ascii="Lora" w:eastAsia="Lora" w:hAnsi="Lora" w:cs="Lora"/>
          <w:b/>
        </w:rPr>
      </w:pPr>
    </w:p>
    <w:tbl>
      <w:tblPr>
        <w:tblStyle w:val="a2"/>
        <w:tblW w:w="10545" w:type="dxa"/>
        <w:tblInd w:w="-6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05"/>
        <w:gridCol w:w="5340"/>
      </w:tblGrid>
      <w:tr w:rsidR="00E73CDB" w14:paraId="40B53DA5" w14:textId="77777777">
        <w:trPr>
          <w:trHeight w:val="517"/>
        </w:trPr>
        <w:tc>
          <w:tcPr>
            <w:tcW w:w="10545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53DA4" w14:textId="643E7DB6" w:rsidR="00E73CDB" w:rsidRDefault="00000000">
            <w:pPr>
              <w:rPr>
                <w:rFonts w:ascii="Lora" w:eastAsia="Lora" w:hAnsi="Lora" w:cs="Lora"/>
                <w:b/>
              </w:rPr>
            </w:pPr>
            <w:r>
              <w:rPr>
                <w:rFonts w:ascii="Lora" w:hAnsi="Lora"/>
                <w:b/>
                <w:sz w:val="26"/>
              </w:rPr>
              <w:t>Exemplo</w:t>
            </w:r>
            <w:r w:rsidR="006E4E66">
              <w:rPr>
                <w:rFonts w:ascii="Lora" w:hAnsi="Lora"/>
                <w:b/>
                <w:sz w:val="26"/>
              </w:rPr>
              <w:t>s</w:t>
            </w:r>
            <w:r>
              <w:rPr>
                <w:rFonts w:ascii="Lora" w:hAnsi="Lora"/>
                <w:b/>
                <w:sz w:val="26"/>
              </w:rPr>
              <w:t xml:space="preserve"> de funções essenciais em uma padaria</w:t>
            </w:r>
          </w:p>
        </w:tc>
      </w:tr>
      <w:tr w:rsidR="00E73CDB" w14:paraId="40B53DAF" w14:textId="77777777">
        <w:tc>
          <w:tcPr>
            <w:tcW w:w="5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53DA6" w14:textId="77777777" w:rsidR="00E73CDB" w:rsidRDefault="00000000">
            <w:pPr>
              <w:widowControl w:val="0"/>
              <w:spacing w:line="240" w:lineRule="auto"/>
              <w:rPr>
                <w:rFonts w:ascii="Lora" w:eastAsia="Lora" w:hAnsi="Lora" w:cs="Lora"/>
                <w:b/>
              </w:rPr>
            </w:pPr>
            <w:r>
              <w:rPr>
                <w:rFonts w:ascii="Lora" w:hAnsi="Lora"/>
                <w:b/>
              </w:rPr>
              <w:t>Instalações e operações</w:t>
            </w:r>
          </w:p>
          <w:p w14:paraId="40B53DA7" w14:textId="77777777" w:rsidR="00E73CDB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Lora" w:eastAsia="Lora" w:hAnsi="Lora" w:cs="Lora"/>
              </w:rPr>
            </w:pPr>
            <w:r>
              <w:rPr>
                <w:rFonts w:ascii="Lora" w:hAnsi="Lora"/>
              </w:rPr>
              <w:t>Mistura da massa</w:t>
            </w:r>
          </w:p>
          <w:p w14:paraId="40B53DA8" w14:textId="77777777" w:rsidR="00E73CDB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Lora" w:eastAsia="Lora" w:hAnsi="Lora" w:cs="Lora"/>
              </w:rPr>
            </w:pPr>
            <w:r>
              <w:rPr>
                <w:rFonts w:ascii="Lora" w:hAnsi="Lora"/>
              </w:rPr>
              <w:t>Assamento dos produtos</w:t>
            </w:r>
          </w:p>
          <w:p w14:paraId="40B53DA9" w14:textId="77777777" w:rsidR="00E73CDB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Lora" w:eastAsia="Lora" w:hAnsi="Lora" w:cs="Lora"/>
              </w:rPr>
            </w:pPr>
            <w:r>
              <w:rPr>
                <w:rFonts w:ascii="Lora" w:hAnsi="Lora"/>
              </w:rPr>
              <w:t>Entrega dos produtos</w:t>
            </w:r>
          </w:p>
          <w:p w14:paraId="40B53DAA" w14:textId="77777777" w:rsidR="00E73CDB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Lora" w:eastAsia="Lora" w:hAnsi="Lora" w:cs="Lora"/>
              </w:rPr>
            </w:pPr>
            <w:r>
              <w:rPr>
                <w:rFonts w:ascii="Lora" w:hAnsi="Lora"/>
              </w:rPr>
              <w:lastRenderedPageBreak/>
              <w:t>Refrigeração</w:t>
            </w:r>
          </w:p>
          <w:p w14:paraId="40B53DAB" w14:textId="77777777" w:rsidR="00E73CDB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Lora" w:eastAsia="Lora" w:hAnsi="Lora" w:cs="Lora"/>
              </w:rPr>
            </w:pPr>
            <w:r>
              <w:rPr>
                <w:rFonts w:ascii="Lora" w:hAnsi="Lora"/>
              </w:rPr>
              <w:t>Estoque</w:t>
            </w:r>
          </w:p>
        </w:tc>
        <w:tc>
          <w:tcPr>
            <w:tcW w:w="5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53DAC" w14:textId="77777777" w:rsidR="00E73CDB" w:rsidRDefault="00000000">
            <w:pPr>
              <w:widowControl w:val="0"/>
              <w:spacing w:line="240" w:lineRule="auto"/>
              <w:rPr>
                <w:rFonts w:ascii="Lora" w:eastAsia="Lora" w:hAnsi="Lora" w:cs="Lora"/>
                <w:b/>
              </w:rPr>
            </w:pPr>
            <w:r>
              <w:rPr>
                <w:rFonts w:ascii="Lora" w:hAnsi="Lora"/>
                <w:b/>
              </w:rPr>
              <w:lastRenderedPageBreak/>
              <w:t xml:space="preserve">Vendas e transações com clientes </w:t>
            </w:r>
          </w:p>
          <w:p w14:paraId="40B53DAD" w14:textId="77777777" w:rsidR="00E73CDB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Lora" w:eastAsia="Lora" w:hAnsi="Lora" w:cs="Lora"/>
              </w:rPr>
            </w:pPr>
            <w:r>
              <w:rPr>
                <w:rFonts w:ascii="Lora" w:hAnsi="Lora"/>
              </w:rPr>
              <w:t>Ponto de compra na loja</w:t>
            </w:r>
          </w:p>
          <w:p w14:paraId="40B53DAE" w14:textId="77777777" w:rsidR="00E73CDB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Lora" w:eastAsia="Lora" w:hAnsi="Lora" w:cs="Lora"/>
              </w:rPr>
            </w:pPr>
            <w:r>
              <w:rPr>
                <w:rFonts w:ascii="Lora" w:hAnsi="Lora"/>
              </w:rPr>
              <w:t>Pedidos on-line</w:t>
            </w:r>
          </w:p>
        </w:tc>
      </w:tr>
      <w:tr w:rsidR="00E73CDB" w14:paraId="40B53DB5" w14:textId="77777777">
        <w:tc>
          <w:tcPr>
            <w:tcW w:w="5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53DB0" w14:textId="77777777" w:rsidR="00E73CDB" w:rsidRDefault="00000000">
            <w:pPr>
              <w:widowControl w:val="0"/>
              <w:spacing w:line="240" w:lineRule="auto"/>
              <w:rPr>
                <w:rFonts w:ascii="Lora" w:eastAsia="Lora" w:hAnsi="Lora" w:cs="Lora"/>
                <w:b/>
              </w:rPr>
            </w:pPr>
            <w:r>
              <w:rPr>
                <w:rFonts w:ascii="Lora" w:hAnsi="Lora"/>
                <w:b/>
              </w:rPr>
              <w:t>Cadeia de abastecimento e estoque</w:t>
            </w:r>
          </w:p>
          <w:p w14:paraId="40B53DB1" w14:textId="77777777" w:rsidR="00E73CDB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Lora" w:eastAsia="Lora" w:hAnsi="Lora" w:cs="Lora"/>
              </w:rPr>
            </w:pPr>
            <w:r>
              <w:rPr>
                <w:rFonts w:ascii="Lora" w:hAnsi="Lora"/>
              </w:rPr>
              <w:t xml:space="preserve">Pedido de insumos </w:t>
            </w:r>
            <w:r>
              <w:rPr>
                <w:rFonts w:ascii="Lora" w:hAnsi="Lora"/>
              </w:rPr>
              <w:br/>
              <w:t>(por exemplo, ingredientes, recipientes etc.)</w:t>
            </w:r>
          </w:p>
        </w:tc>
        <w:tc>
          <w:tcPr>
            <w:tcW w:w="5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53DB2" w14:textId="77777777" w:rsidR="00E73CDB" w:rsidRDefault="00000000">
            <w:pPr>
              <w:widowControl w:val="0"/>
              <w:spacing w:line="240" w:lineRule="auto"/>
              <w:rPr>
                <w:rFonts w:ascii="Lora" w:eastAsia="Lora" w:hAnsi="Lora" w:cs="Lora"/>
                <w:b/>
              </w:rPr>
            </w:pPr>
            <w:r>
              <w:rPr>
                <w:rFonts w:ascii="Lora" w:hAnsi="Lora"/>
                <w:b/>
              </w:rPr>
              <w:t xml:space="preserve">RH </w:t>
            </w:r>
          </w:p>
          <w:p w14:paraId="40B53DB3" w14:textId="77777777" w:rsidR="00E73CDB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Lora" w:eastAsia="Lora" w:hAnsi="Lora" w:cs="Lora"/>
              </w:rPr>
            </w:pPr>
            <w:r>
              <w:rPr>
                <w:rFonts w:ascii="Lora" w:hAnsi="Lora"/>
              </w:rPr>
              <w:t>Contratação de pessoal</w:t>
            </w:r>
          </w:p>
          <w:p w14:paraId="40B53DB4" w14:textId="77777777" w:rsidR="00E73CDB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Lora" w:eastAsia="Lora" w:hAnsi="Lora" w:cs="Lora"/>
              </w:rPr>
            </w:pPr>
            <w:r>
              <w:rPr>
                <w:rFonts w:ascii="Lora" w:hAnsi="Lora"/>
              </w:rPr>
              <w:t>Folha de pagamento</w:t>
            </w:r>
          </w:p>
        </w:tc>
      </w:tr>
    </w:tbl>
    <w:p w14:paraId="40B53DB6" w14:textId="77777777" w:rsidR="00E73CDB" w:rsidRDefault="00E73CDB">
      <w:pPr>
        <w:spacing w:before="200" w:after="200"/>
        <w:ind w:left="-630"/>
        <w:rPr>
          <w:rFonts w:ascii="Lora" w:eastAsia="Lora" w:hAnsi="Lora" w:cs="Lora"/>
        </w:rPr>
      </w:pPr>
    </w:p>
    <w:sectPr w:rsidR="00E73CDB">
      <w:headerReference w:type="default" r:id="rId7"/>
      <w:footerReference w:type="default" r:id="rId8"/>
      <w:pgSz w:w="12240" w:h="15840"/>
      <w:pgMar w:top="18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CF6D8E" w14:textId="77777777" w:rsidR="00217181" w:rsidRDefault="00217181">
      <w:pPr>
        <w:spacing w:line="240" w:lineRule="auto"/>
      </w:pPr>
      <w:r>
        <w:separator/>
      </w:r>
    </w:p>
  </w:endnote>
  <w:endnote w:type="continuationSeparator" w:id="0">
    <w:p w14:paraId="3996D21A" w14:textId="77777777" w:rsidR="00217181" w:rsidRDefault="002171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DF886A52-D0D5-46A1-A30C-54A82D6D81BE}"/>
    <w:embedBold r:id="rId2" w:fontKey="{3A36DE86-C38D-42C0-A4D4-20885AC58C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ra">
    <w:charset w:val="00"/>
    <w:family w:val="auto"/>
    <w:pitch w:val="variable"/>
    <w:sig w:usb0="A00002FF" w:usb1="5000204B" w:usb2="00000000" w:usb3="00000000" w:csb0="00000097" w:csb1="00000000"/>
    <w:embedRegular r:id="rId3" w:fontKey="{CF10FE88-42DC-4BA6-B032-86F8D2A4C7E7}"/>
    <w:embedBold r:id="rId4" w:fontKey="{553DE693-33EC-403D-A52F-472C796D692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33C9A92-7F42-4FE4-8909-CA570B419B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DD81C6F-5BCF-4E11-9217-5E331003E6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53DB8" w14:textId="2D37D232" w:rsidR="00E73CDB" w:rsidRDefault="00000000">
    <w:pPr>
      <w:jc w:val="center"/>
      <w:rPr>
        <w:sz w:val="20"/>
        <w:szCs w:val="20"/>
      </w:rPr>
    </w:pPr>
    <w:r>
      <w:fldChar w:fldCharType="begin"/>
    </w:r>
    <w:r>
      <w:instrText>PAGE</w:instrText>
    </w:r>
    <w:r>
      <w:fldChar w:fldCharType="separate"/>
    </w:r>
    <w:r w:rsidR="00EF216E">
      <w:rPr>
        <w:noProof/>
      </w:rPr>
      <w:t>1</w:t>
    </w:r>
    <w:r>
      <w:fldChar w:fldCharType="end"/>
    </w:r>
  </w:p>
  <w:p w14:paraId="40B53DB9" w14:textId="77777777" w:rsidR="00E73CDB" w:rsidRDefault="00E73CDB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60A3FE" w14:textId="77777777" w:rsidR="00217181" w:rsidRDefault="00217181">
      <w:pPr>
        <w:spacing w:line="240" w:lineRule="auto"/>
      </w:pPr>
      <w:r>
        <w:separator/>
      </w:r>
    </w:p>
  </w:footnote>
  <w:footnote w:type="continuationSeparator" w:id="0">
    <w:p w14:paraId="1F360D3B" w14:textId="77777777" w:rsidR="00217181" w:rsidRDefault="0021718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53DB7" w14:textId="77777777" w:rsidR="00E73CDB" w:rsidRDefault="00000000">
    <w:pPr>
      <w:spacing w:line="240" w:lineRule="auto"/>
      <w:ind w:left="-720"/>
    </w:pPr>
    <w:r>
      <w:rPr>
        <w:noProof/>
      </w:rPr>
      <w:drawing>
        <wp:inline distT="114300" distB="114300" distL="114300" distR="114300" wp14:anchorId="40B53DBA" wp14:editId="40B53DBB">
          <wp:extent cx="2159749" cy="547688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59749" cy="5476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C2ABF"/>
    <w:multiLevelType w:val="multilevel"/>
    <w:tmpl w:val="3FF882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48A2AE0"/>
    <w:multiLevelType w:val="multilevel"/>
    <w:tmpl w:val="03FAEF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89B2065"/>
    <w:multiLevelType w:val="multilevel"/>
    <w:tmpl w:val="EE68CD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1F26C9D"/>
    <w:multiLevelType w:val="multilevel"/>
    <w:tmpl w:val="23D4DF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6A36263"/>
    <w:multiLevelType w:val="multilevel"/>
    <w:tmpl w:val="7862AE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EA522DE"/>
    <w:multiLevelType w:val="multilevel"/>
    <w:tmpl w:val="C92E94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3DE7A24"/>
    <w:multiLevelType w:val="multilevel"/>
    <w:tmpl w:val="FCAC1F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6196427"/>
    <w:multiLevelType w:val="multilevel"/>
    <w:tmpl w:val="CC14C7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8C732DB"/>
    <w:multiLevelType w:val="multilevel"/>
    <w:tmpl w:val="83500F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454664B"/>
    <w:multiLevelType w:val="multilevel"/>
    <w:tmpl w:val="3E54A8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4DD6DC9"/>
    <w:multiLevelType w:val="multilevel"/>
    <w:tmpl w:val="167ABB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8CE13C6"/>
    <w:multiLevelType w:val="multilevel"/>
    <w:tmpl w:val="72E64E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06E37EE"/>
    <w:multiLevelType w:val="multilevel"/>
    <w:tmpl w:val="D6AC40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1EE12A3"/>
    <w:multiLevelType w:val="multilevel"/>
    <w:tmpl w:val="7AF220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86917A8"/>
    <w:multiLevelType w:val="multilevel"/>
    <w:tmpl w:val="585422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697194787">
    <w:abstractNumId w:val="0"/>
  </w:num>
  <w:num w:numId="2" w16cid:durableId="886910254">
    <w:abstractNumId w:val="14"/>
  </w:num>
  <w:num w:numId="3" w16cid:durableId="1538078447">
    <w:abstractNumId w:val="1"/>
  </w:num>
  <w:num w:numId="4" w16cid:durableId="1354569795">
    <w:abstractNumId w:val="4"/>
  </w:num>
  <w:num w:numId="5" w16cid:durableId="1658537152">
    <w:abstractNumId w:val="10"/>
  </w:num>
  <w:num w:numId="6" w16cid:durableId="1292321224">
    <w:abstractNumId w:val="3"/>
  </w:num>
  <w:num w:numId="7" w16cid:durableId="111754941">
    <w:abstractNumId w:val="6"/>
  </w:num>
  <w:num w:numId="8" w16cid:durableId="1642878741">
    <w:abstractNumId w:val="2"/>
  </w:num>
  <w:num w:numId="9" w16cid:durableId="1009066575">
    <w:abstractNumId w:val="12"/>
  </w:num>
  <w:num w:numId="10" w16cid:durableId="279263397">
    <w:abstractNumId w:val="5"/>
  </w:num>
  <w:num w:numId="11" w16cid:durableId="1134256043">
    <w:abstractNumId w:val="13"/>
  </w:num>
  <w:num w:numId="12" w16cid:durableId="1201892585">
    <w:abstractNumId w:val="11"/>
  </w:num>
  <w:num w:numId="13" w16cid:durableId="2111587211">
    <w:abstractNumId w:val="7"/>
  </w:num>
  <w:num w:numId="14" w16cid:durableId="1830629788">
    <w:abstractNumId w:val="8"/>
  </w:num>
  <w:num w:numId="15" w16cid:durableId="81398888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CDB"/>
    <w:rsid w:val="00034BCC"/>
    <w:rsid w:val="00217181"/>
    <w:rsid w:val="006E4E66"/>
    <w:rsid w:val="00C15329"/>
    <w:rsid w:val="00E73CDB"/>
    <w:rsid w:val="00EF2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53CDD"/>
  <w15:docId w15:val="{C09CE63D-00D3-4E7A-BCDA-3A47DCEE7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outlineLvl w:val="0"/>
    </w:pPr>
    <w:rPr>
      <w:rFonts w:ascii="Montserrat" w:eastAsia="Montserrat" w:hAnsi="Montserrat" w:cs="Montserrat"/>
      <w:b/>
      <w:color w:val="00447B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20" w:after="200" w:line="240" w:lineRule="auto"/>
      <w:outlineLvl w:val="1"/>
    </w:pPr>
    <w:rPr>
      <w:rFonts w:ascii="Arial" w:eastAsia="Arial" w:hAnsi="Arial" w:cs="Arial"/>
      <w:b/>
      <w:smallCaps/>
      <w:color w:val="288BE4"/>
      <w:sz w:val="21"/>
      <w:szCs w:val="21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rFonts w:ascii="Arial" w:eastAsia="Arial" w:hAnsi="Arial" w:cs="Arial"/>
      <w:b/>
      <w:color w:val="FB4D42"/>
      <w:sz w:val="21"/>
      <w:szCs w:val="21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557</Words>
  <Characters>3011</Characters>
  <Application>Microsoft Office Word</Application>
  <DocSecurity>0</DocSecurity>
  <Lines>25</Lines>
  <Paragraphs>7</Paragraphs>
  <ScaleCrop>false</ScaleCrop>
  <Company/>
  <LinksUpToDate>false</LinksUpToDate>
  <CharactersWithSpaces>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Fernanda Lima</cp:lastModifiedBy>
  <cp:revision>4</cp:revision>
  <dcterms:created xsi:type="dcterms:W3CDTF">2025-09-17T18:05:00Z</dcterms:created>
  <dcterms:modified xsi:type="dcterms:W3CDTF">2025-09-17T18:07:00Z</dcterms:modified>
</cp:coreProperties>
</file>