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36"/>
          <w:szCs w:val="36"/>
        </w:rPr>
      </w:pPr>
      <w:bookmarkStart w:colFirst="0" w:colLast="0" w:name="_notxbioaj2jd" w:id="0"/>
      <w:bookmarkEnd w:id="0"/>
      <w:r w:rsidDel="00000000" w:rsidR="00000000" w:rsidRPr="00000000">
        <w:rPr>
          <w:sz w:val="36"/>
          <w:szCs w:val="36"/>
          <w:rtl w:val="0"/>
        </w:rPr>
        <w:t xml:space="preserve">5.1 EXERCICE DE CONTINUITÉ D’ACTIVITÉ — QUESTIONNAIRE DE DISCUSSION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7ajfud5iwylf" w:id="1"/>
      <w:bookmarkEnd w:id="1"/>
      <w:r w:rsidDel="00000000" w:rsidR="00000000" w:rsidRPr="00000000">
        <w:rPr>
          <w:rtl w:val="0"/>
        </w:rPr>
        <w:t xml:space="preserve">CONSIGNES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Servez-vous des questions suivantes pour vous guider à travers chaque scénario. Commencez par lire le module 1, puis répondez aux questions sous le titre rouge « Questions sur le module 1 ». Lorsque vous avez terminé, passez au module 2 et répondez aux questions inscrites sous le titre rouge « Questions sur le module 2 ».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200" w:lineRule="auto"/>
        <w:rPr/>
      </w:pPr>
      <w:bookmarkStart w:colFirst="0" w:colLast="0" w:name="_1gyby14snymi" w:id="2"/>
      <w:bookmarkEnd w:id="2"/>
      <w:r w:rsidDel="00000000" w:rsidR="00000000" w:rsidRPr="00000000">
        <w:rPr>
          <w:rtl w:val="0"/>
        </w:rPr>
        <w:t xml:space="preserve">QUESTIONS SUR LE MODULE 1</w:t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6315"/>
        <w:tblGridChange w:id="0">
          <w:tblGrid>
            <w:gridCol w:w="3450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d’action d’urgence : communication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Qui est responsable de notifier les individus ou les entités externes de la situation d’urgence 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Qui doit être notifié et où se trouvent les informations de contact 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 quel dispositif d’alerte et de notification cette perturbation doit-elle être communiquée et où se trouve-t-il 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Quelles informations cette notification doit-elle comprendre 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d’action d’urgence : évacuation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cas d’évacuation, où se situe le point de rassemblement 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Où se trouve la zone d’assistance à l’évacuation pour le personnel et la clientèle à mobilité réduite au sein du bâtiment ?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Qui est responsable d’aider les personnes à mobilité réduite à évacuer 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Disposez-vous d’un plan (schéma) d’évacuation d’urgence 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d’action d’urgence : procédure de refuge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cas de procédure de refuge, où se situe la zone de refuge définie 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 quel endroit se trouvent les provisions d’urgence 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Qui est responsable de la désactivation des systèmes de ventilation et d’entrée d’air 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d’action d’urgence : protection des biens et équipements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c’est sans danger, quel bien ou équipement doit être sécurisé 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Où se trouve ce bien ou cet équipement 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Quel est le délai estimé nécessaire à la sécurisation de ce bien ou de cet équipement ? 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d’action d’urgence : guides d’intervention d’urgence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Est-ce que l’un des guides d’intervention d’urgence peut s’appliquer dans cette situation 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de continuité d’activité : fonctions essentielles de l’entreprise</w:t>
            </w:r>
          </w:p>
        </w:tc>
      </w:tr>
      <w:tr>
        <w:trPr>
          <w:cantSplit w:val="0"/>
          <w:trHeight w:val="210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Quelles fonctions essentielles de l’entreprise cette situation perturbe-t-elle 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Quelles fonctions essentielles de l’entreprise ont été identifiées comme ayant un niveau de priorité critique ou majeur 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de continuité d’activité : stratégies de continuité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tl w:val="0"/>
              </w:rPr>
              <w:t xml:space="preserve">Stratégies de continuité : quelles mesures sont mises en œuvre par vous et votre personnel pour assurer la continuité des fonctions essentielles jugées critiques ou majeures qui sont affectées par cette situation  ? 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240" w:before="200" w:line="2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Interdépendances : existe-t-il d’autres entités qui fournissent des ressources ou des données nécessaires à l’exercice de ces fonctions 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Résultats : qui utilise les résultats de ces fonctions 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Obligation : êtes-vous obligé de notifier quiconque de la perturbation de ces fonctions essentielles 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de continuité d’activité : systèmes de communication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Devez-vous diffuser un message de communication d’urgence ? Si oui, auprès de qui 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Quel est votre dispositif de communication interne principal ? Existe-t-il un dispositif alternatif 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Quels sont vos dispositifs de communication externes principaux pour communiquer auprès de votre clientèle, de vos fournisseurs, prestataires et organismes réglementaires ? Existe-t-il des dispositifs alternatifs 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3"/>
        <w:spacing w:after="200" w:line="240" w:lineRule="auto"/>
        <w:rPr/>
      </w:pPr>
      <w:bookmarkStart w:colFirst="0" w:colLast="0" w:name="_gzfeniv9m92l" w:id="3"/>
      <w:bookmarkEnd w:id="3"/>
      <w:r w:rsidDel="00000000" w:rsidR="00000000" w:rsidRPr="00000000">
        <w:rPr>
          <w:rtl w:val="0"/>
        </w:rPr>
        <w:t xml:space="preserve">QUESTIONS SUR LE MODULE 2</w:t>
      </w:r>
    </w:p>
    <w:p w:rsidR="00000000" w:rsidDel="00000000" w:rsidP="00000000" w:rsidRDefault="00000000" w:rsidRPr="00000000" w14:paraId="000000A2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0"/>
        <w:gridCol w:w="5860"/>
        <w:tblGridChange w:id="0">
          <w:tblGrid>
            <w:gridCol w:w="3500"/>
            <w:gridCol w:w="58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 de continuité d’activité : stratégies de reprise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Exposez les grandes lignes des stratégies de reprise nécessaires au rétablissement des fonctions essentielles de l’entreprise et à la reprise d’une activité normale.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Quelles conséquences financières cette perturbation a-t-elle eues sur l’entreprise, et comment peuvent-elles être réparées ? Tenez compte des ressources d’aide à la reprise, des couvertures d’assurance, et de toute autre solution d’assistance financière.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