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ind w:right="-360"/>
        <w:rPr>
          <w:sz w:val="36"/>
          <w:szCs w:val="36"/>
        </w:rPr>
      </w:pPr>
      <w:bookmarkStart w:colFirst="0" w:colLast="0" w:name="_6nki4nbqe3e6" w:id="0"/>
      <w:bookmarkEnd w:id="0"/>
      <w:r w:rsidDel="00000000" w:rsidR="00000000" w:rsidRPr="00000000">
        <w:rPr>
          <w:sz w:val="36"/>
          <w:szCs w:val="36"/>
          <w:rtl w:val="0"/>
        </w:rPr>
        <w:t xml:space="preserve">4.2 STRATÉGIES DE CONTINUITÉ ET DE REPRISE </w:t>
      </w:r>
    </w:p>
    <w:p w:rsidR="00000000" w:rsidDel="00000000" w:rsidP="00000000" w:rsidRDefault="00000000" w:rsidRPr="00000000" w14:paraId="00000002">
      <w:pPr>
        <w:spacing w:after="200" w:before="20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Choisissez une fonction essentielle dont le niveau de priorité est « critique » et dont l’objectif de délai de rétablissement est inférieur à une heure ou compris entre une et huit heures. Renseignez les informations ci-dessous sur la fonction essentielle, puis définissez des stratégies de continuité et de reprise adaptées à chaque type de perturbation.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Fonction essentielle de l’entreprise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848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Priorité de rétablissement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Critique 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Majeure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Modérée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Mineure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Objectif de délai de rétablissement : </w:t>
            </w:r>
            <w:r w:rsidDel="00000000" w:rsidR="00000000" w:rsidRPr="00000000">
              <w:rPr>
                <w:rFonts w:ascii="Lora" w:cs="Lora" w:eastAsia="Lora" w:hAnsi="Lora"/>
                <w:i w:val="1"/>
                <w:sz w:val="20"/>
                <w:szCs w:val="20"/>
                <w:rtl w:val="0"/>
              </w:rPr>
              <w:t xml:space="preserve">quelle est la durée maximale d’interruption de cette fonction avant qu’elle n’entraîne des répercussions financières ou opérationnelles ?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 1 h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à 8 h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à 24 h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à 72 h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&gt; 72 h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Qui exerce cette fonction ?</w:t>
            </w:r>
          </w:p>
          <w:p w:rsidR="00000000" w:rsidDel="00000000" w:rsidP="00000000" w:rsidRDefault="00000000" w:rsidRPr="00000000" w14:paraId="00000011">
            <w:pPr>
              <w:widowControl w:val="0"/>
              <w:spacing w:before="1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Manager/superviseur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 :</w:t>
            </w:r>
          </w:p>
          <w:p w:rsidR="00000000" w:rsidDel="00000000" w:rsidP="00000000" w:rsidRDefault="00000000" w:rsidRPr="00000000" w14:paraId="00000012">
            <w:pPr>
              <w:widowControl w:val="0"/>
              <w:spacing w:before="3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Personnel supplémentaire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 :</w:t>
            </w:r>
          </w:p>
          <w:p w:rsidR="00000000" w:rsidDel="00000000" w:rsidP="00000000" w:rsidRDefault="00000000" w:rsidRPr="00000000" w14:paraId="00000013">
            <w:pPr>
              <w:widowControl w:val="0"/>
              <w:spacing w:before="3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Fournisseurs/prestataires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 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Qui pourrait exercer cette fonction en remplacement ?</w:t>
            </w:r>
          </w:p>
          <w:p w:rsidR="00000000" w:rsidDel="00000000" w:rsidP="00000000" w:rsidRDefault="00000000" w:rsidRPr="00000000" w14:paraId="00000015">
            <w:pPr>
              <w:widowControl w:val="0"/>
              <w:spacing w:before="1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Manager/superviseur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 :</w:t>
            </w:r>
          </w:p>
          <w:p w:rsidR="00000000" w:rsidDel="00000000" w:rsidP="00000000" w:rsidRDefault="00000000" w:rsidRPr="00000000" w14:paraId="00000016">
            <w:pPr>
              <w:widowControl w:val="0"/>
              <w:spacing w:before="3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Personnel supplémentaire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 :</w:t>
            </w:r>
          </w:p>
          <w:p w:rsidR="00000000" w:rsidDel="00000000" w:rsidP="00000000" w:rsidRDefault="00000000" w:rsidRPr="00000000" w14:paraId="00000017">
            <w:pPr>
              <w:widowControl w:val="0"/>
              <w:spacing w:before="3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Fournisseurs/prestataires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 :</w:t>
            </w:r>
          </w:p>
        </w:tc>
      </w:tr>
      <w:tr>
        <w:trPr>
          <w:cantSplit w:val="0"/>
          <w:trHeight w:val="219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Courte description de la façon d’exécuter cette fonction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Formation nécessaire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Quels sont les besoins inhérents à cette fonction ? </w:t>
            </w:r>
          </w:p>
          <w:p w:rsidR="00000000" w:rsidDel="00000000" w:rsidP="00000000" w:rsidRDefault="00000000" w:rsidRPr="00000000" w14:paraId="0000001C">
            <w:pPr>
              <w:widowControl w:val="0"/>
              <w:spacing w:before="24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Équipements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 :</w:t>
            </w:r>
          </w:p>
          <w:p w:rsidR="00000000" w:rsidDel="00000000" w:rsidP="00000000" w:rsidRDefault="00000000" w:rsidRPr="00000000" w14:paraId="0000001D">
            <w:pPr>
              <w:widowControl w:val="0"/>
              <w:spacing w:before="24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Dossiers/rapports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 :</w:t>
            </w:r>
          </w:p>
          <w:p w:rsidR="00000000" w:rsidDel="00000000" w:rsidP="00000000" w:rsidRDefault="00000000" w:rsidRPr="00000000" w14:paraId="0000001E">
            <w:pPr>
              <w:widowControl w:val="0"/>
              <w:spacing w:before="24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Fournitures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 :</w:t>
            </w:r>
          </w:p>
          <w:p w:rsidR="00000000" w:rsidDel="00000000" w:rsidP="00000000" w:rsidRDefault="00000000" w:rsidRPr="00000000" w14:paraId="0000001F">
            <w:pPr>
              <w:widowControl w:val="0"/>
              <w:spacing w:before="24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Services (eau/électricité)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 :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200" w:before="24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Espaces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 : </w:t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Résultats/interdépendances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Qui utilise les résultats de cette fonction ?</w:t>
            </w:r>
          </w:p>
          <w:p w:rsidR="00000000" w:rsidDel="00000000" w:rsidP="00000000" w:rsidRDefault="00000000" w:rsidRPr="00000000" w14:paraId="00000023">
            <w:pPr>
              <w:widowControl w:val="0"/>
              <w:spacing w:before="1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9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Site principal</w:t>
            </w:r>
          </w:p>
          <w:p w:rsidR="00000000" w:rsidDel="00000000" w:rsidP="00000000" w:rsidRDefault="00000000" w:rsidRPr="00000000" w14:paraId="00000025">
            <w:pPr>
              <w:widowControl w:val="0"/>
              <w:spacing w:before="1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Site alternatif</w:t>
            </w:r>
          </w:p>
          <w:p w:rsidR="00000000" w:rsidDel="00000000" w:rsidP="00000000" w:rsidRDefault="00000000" w:rsidRPr="00000000" w14:paraId="00000027">
            <w:pPr>
              <w:widowControl w:val="0"/>
              <w:spacing w:before="1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9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Obligation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Aucune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Juridique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Contractuelle 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Réglementaire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Financière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Pertes financières (ou amendes infligées) sans cette fonction</w:t>
            </w:r>
          </w:p>
          <w:p w:rsidR="00000000" w:rsidDel="00000000" w:rsidP="00000000" w:rsidRDefault="00000000" w:rsidRPr="00000000" w14:paraId="0000002F">
            <w:pPr>
              <w:widowControl w:val="0"/>
              <w:spacing w:before="1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Stratégies de continuité</w:t>
            </w:r>
          </w:p>
        </w:tc>
      </w:tr>
      <w:tr>
        <w:trPr>
          <w:cantSplit w:val="0"/>
          <w:trHeight w:val="142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Inaccessibilité d’un établissement : </w:t>
            </w:r>
          </w:p>
        </w:tc>
      </w:tr>
      <w:tr>
        <w:trPr>
          <w:cantSplit w:val="0"/>
          <w:trHeight w:val="142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Interruption de service due à un manque de personnel : </w:t>
            </w:r>
          </w:p>
        </w:tc>
      </w:tr>
      <w:tr>
        <w:trPr>
          <w:cantSplit w:val="0"/>
          <w:trHeight w:val="142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Interruption de service due à un équipement ou système défaillant : 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Stratégies de reprise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Inaccessibilité d’un établissement : 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Interruption de service due à un manque de personnel : 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Interruption de service due à un équipement ou système défaillant : </w:t>
            </w:r>
          </w:p>
        </w:tc>
      </w:tr>
    </w:tbl>
    <w:p w:rsidR="00000000" w:rsidDel="00000000" w:rsidP="00000000" w:rsidRDefault="00000000" w:rsidRPr="00000000" w14:paraId="00000042">
      <w:pPr>
        <w:spacing w:line="240" w:lineRule="auto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ind w:left="-720" w:firstLine="0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Fonts w:ascii="Lora" w:cs="Lora" w:eastAsia="Lora" w:hAnsi="Lora"/>
          <w:sz w:val="12"/>
          <w:szCs w:val="12"/>
        </w:rPr>
        <w:drawing>
          <wp:inline distB="114300" distT="114300" distL="114300" distR="114300">
            <wp:extent cx="6855646" cy="3394075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9970" l="4006" r="3205" t="8262"/>
                    <a:stretch>
                      <a:fillRect/>
                    </a:stretch>
                  </pic:blipFill>
                  <pic:spPr>
                    <a:xfrm>
                      <a:off x="0" y="0"/>
                      <a:ext cx="6855646" cy="3394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ind w:left="-720" w:firstLine="0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ind w:left="-720" w:firstLine="0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ind w:left="-720" w:firstLine="0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Fonts w:ascii="Lora" w:cs="Lora" w:eastAsia="Lora" w:hAnsi="Lora"/>
          <w:sz w:val="12"/>
          <w:szCs w:val="12"/>
        </w:rPr>
        <w:drawing>
          <wp:inline distB="114300" distT="114300" distL="114300" distR="114300">
            <wp:extent cx="6833093" cy="3387674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10316" l="4166" r="3685" t="8492"/>
                    <a:stretch>
                      <a:fillRect/>
                    </a:stretch>
                  </pic:blipFill>
                  <pic:spPr>
                    <a:xfrm>
                      <a:off x="0" y="0"/>
                      <a:ext cx="6833093" cy="33876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8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o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spacing w:line="240" w:lineRule="auto"/>
      <w:rPr/>
    </w:pPr>
    <w:r w:rsidDel="00000000" w:rsidR="00000000" w:rsidRPr="00000000">
      <w:rPr/>
      <w:drawing>
        <wp:inline distB="114300" distT="114300" distL="114300" distR="114300">
          <wp:extent cx="2159749" cy="547688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9749" cy="5476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Montserrat" w:cs="Montserrat" w:eastAsia="Montserrat" w:hAnsi="Montserrat"/>
      <w:b w:val="1"/>
      <w:color w:val="00447b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20" w:line="240" w:lineRule="auto"/>
    </w:pPr>
    <w:rPr>
      <w:rFonts w:ascii="Arial" w:cs="Arial" w:eastAsia="Arial" w:hAnsi="Arial"/>
      <w:b w:val="1"/>
      <w:smallCaps w:val="1"/>
      <w:color w:val="288be4"/>
      <w:sz w:val="21"/>
      <w:szCs w:val="2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Arial" w:cs="Arial" w:eastAsia="Arial" w:hAnsi="Arial"/>
      <w:b w:val="1"/>
      <w:color w:val="fb4d42"/>
      <w:sz w:val="21"/>
      <w:szCs w:val="21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</w:pPr>
    <w:rPr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Lora-regular.ttf"/><Relationship Id="rId6" Type="http://schemas.openxmlformats.org/officeDocument/2006/relationships/font" Target="fonts/Lora-bold.ttf"/><Relationship Id="rId7" Type="http://schemas.openxmlformats.org/officeDocument/2006/relationships/font" Target="fonts/Lora-italic.ttf"/><Relationship Id="rId8" Type="http://schemas.openxmlformats.org/officeDocument/2006/relationships/font" Target="fonts/Lor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