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rPr>
          <w:rFonts w:ascii="Noto Sans Arabic" w:cs="Noto Sans Arabic" w:eastAsia="Noto Sans Arabic" w:hAnsi="Noto Sans Arabic"/>
          <w:sz w:val="36"/>
          <w:szCs w:val="36"/>
        </w:rPr>
      </w:pPr>
      <w:bookmarkStart w:colFirst="0" w:colLast="0" w:name="_heading=h.uc0v1ef37nzq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5.1 5-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تمارين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استمرارية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الأعمال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التجارية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-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أسئلة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sz w:val="36"/>
          <w:szCs w:val="36"/>
          <w:rtl w:val="1"/>
        </w:rPr>
        <w:t xml:space="preserve">المناقشة</w:t>
      </w:r>
    </w:p>
    <w:p w:rsidR="00000000" w:rsidDel="00000000" w:rsidP="00000000" w:rsidRDefault="00000000" w:rsidRPr="00000000" w14:paraId="00000002">
      <w:pPr>
        <w:pStyle w:val="Heading2"/>
        <w:bidi w:val="1"/>
        <w:rPr>
          <w:rFonts w:ascii="Noto Sans Arabic" w:cs="Noto Sans Arabic" w:eastAsia="Noto Sans Arabic" w:hAnsi="Noto Sans Arabic"/>
        </w:rPr>
      </w:pPr>
      <w:bookmarkStart w:colFirst="0" w:colLast="0" w:name="_heading=h.yjlfrqh5q6r7" w:id="1"/>
      <w:bookmarkEnd w:id="1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التوجيه</w:t>
      </w:r>
    </w:p>
    <w:p w:rsidR="00000000" w:rsidDel="00000000" w:rsidP="00000000" w:rsidRDefault="00000000" w:rsidRPr="00000000" w14:paraId="00000003">
      <w:pPr>
        <w:bidi w:val="1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استخدم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الأسئلة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التالية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إرشادك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في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كل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سيناريو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ابدأ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بقراءة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ثم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الأسئلة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عنوان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“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1”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باللون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بمجرد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الانتهاء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من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تلك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الأسئلة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،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تابع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إلى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2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وأجب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الأسئلة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تحت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عنوان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“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2”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باللون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الأحمر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bidi w:val="1"/>
        <w:spacing w:after="200" w:lineRule="auto"/>
        <w:rPr>
          <w:rFonts w:ascii="Noto Sans Arabic" w:cs="Noto Sans Arabic" w:eastAsia="Noto Sans Arabic" w:hAnsi="Noto Sans Arabic"/>
        </w:rPr>
      </w:pPr>
      <w:bookmarkStart w:colFirst="0" w:colLast="0" w:name="_heading=h.sceo8x44a8x7" w:id="2"/>
      <w:bookmarkEnd w:id="2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1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أسئلة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المناقشة</w:t>
      </w:r>
    </w:p>
    <w:tbl>
      <w:tblPr>
        <w:tblStyle w:val="Table1"/>
        <w:bidiVisual w:val="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0"/>
        <w:gridCol w:w="6315"/>
        <w:tblGridChange w:id="0">
          <w:tblGrid>
            <w:gridCol w:w="3450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التواصل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المسؤول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إبلاغ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الأشخاص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الجهات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يجب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إبلاغه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وأين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حفظ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بيانات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اتصالهم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التحذير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والإخطار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الذي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ستخدم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بهدف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الإعلام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وأين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يوجد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.9570312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يجب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إضافتها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الإخطار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إخلاء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المنشأة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تقرر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الإخلاء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مكان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التجمع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المخصص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المنطقة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المخصصة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داخل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المبنى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مساعدة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ذوي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الإعاقة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الحركية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المسؤول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مساعدة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هؤلاء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الأشخاص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لديك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خريطة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بمسارات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الهروب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مراكز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إيواء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داخلية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القرار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البقاء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مراكز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إيواء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داخلية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مكان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الإيواء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المخصص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مستلزمات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السلامة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المخصصة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المسؤول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إيقاف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التهوية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ودخول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الهواء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A">
            <w:pPr>
              <w:bidi w:val="1"/>
              <w:spacing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حماية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والمعدات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الوضع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آمنا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تحتاج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تأمينها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3.19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الوقت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تقريبا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ً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تحتاج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تأمين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F">
            <w:pPr>
              <w:bidi w:val="1"/>
              <w:spacing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أثناء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1.5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إرشادات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الاستجابة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يمكن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تطبيق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إرشادات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الاستجابة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حالات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الطوارئ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spacing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</w:p>
        </w:tc>
      </w:tr>
      <w:tr>
        <w:trPr>
          <w:cantSplit w:val="0"/>
          <w:trHeight w:val="2105.000000000002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تعطلت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8.935546874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ُ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ولها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أولوية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قصوى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bidi w:val="1"/>
              <w:spacing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الأعمال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bidi w:val="1"/>
              <w:spacing w:after="240" w:before="200" w:line="280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تتخذها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وموظفوك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الاستمرار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تنفيذ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الحرجة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والمتوقفة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بسبب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40" w:before="200" w:line="280" w:lineRule="auto"/>
              <w:ind w:left="0" w:firstLine="0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240" w:before="200" w:line="28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line="240" w:lineRule="auto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الاعتمادات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المتبادلة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هناك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جهات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أخرى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تزودك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بالموارد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المدخلات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.957031249997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line="240" w:lineRule="auto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المخرجات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يستخدم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المخرجات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الناتجة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spacing w:line="240" w:lineRule="auto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الالتزامات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: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ملزم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بإبلاغ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شخص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بتعطل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bidi w:val="1"/>
              <w:spacing w:line="240" w:lineRule="auto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الاتصال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تحتاج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إرسال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رسالة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بوقوع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إذا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كان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نعم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فلمن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الداخلي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وهل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هناك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نظام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احتياطي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أنظمتك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للاتصال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الخارجي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العملاء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والبائعين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والموردين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والجهات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المنظمة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وهل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لديك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بدائل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Style w:val="Heading3"/>
        <w:bidi w:val="1"/>
        <w:spacing w:after="200" w:line="240" w:lineRule="auto"/>
        <w:rPr>
          <w:rFonts w:ascii="Noto Sans Arabic" w:cs="Noto Sans Arabic" w:eastAsia="Noto Sans Arabic" w:hAnsi="Noto Sans Arabic"/>
        </w:rPr>
      </w:pPr>
      <w:bookmarkStart w:colFirst="0" w:colLast="0" w:name="_heading=h.7wod0gpb0kt3" w:id="3"/>
      <w:bookmarkEnd w:id="3"/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الوحدة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2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أسئلة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 </w:t>
      </w:r>
      <w:r w:rsidDel="00000000" w:rsidR="00000000" w:rsidRPr="00000000">
        <w:rPr>
          <w:rFonts w:ascii="Noto Sans Arabic" w:cs="Noto Sans Arabic" w:eastAsia="Noto Sans Arabic" w:hAnsi="Noto Sans Arabic"/>
          <w:rtl w:val="1"/>
        </w:rPr>
        <w:t xml:space="preserve">المناقشة</w:t>
      </w:r>
    </w:p>
    <w:p w:rsidR="00000000" w:rsidDel="00000000" w:rsidP="00000000" w:rsidRDefault="00000000" w:rsidRPr="00000000" w14:paraId="000000A1">
      <w:pPr>
        <w:spacing w:after="200" w:before="0" w:lin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00.0000000000005"/>
        <w:gridCol w:w="5860"/>
        <w:tblGridChange w:id="0">
          <w:tblGrid>
            <w:gridCol w:w="3500.0000000000005"/>
            <w:gridCol w:w="58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استمرارية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الأعمال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ضع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خطة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أجل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استعادة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بالشركة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وعودتها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العمل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بصورة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طبيعية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bidi w:val="1"/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هي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الآثار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لهذه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الكارثة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وكيف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يمكن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التعامل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معها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؟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فك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ّ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ر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الموارد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المتاحة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للتعافي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والتأمين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،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وخيارات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المساعدات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المالية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 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الأخرى</w:t>
            </w:r>
            <w:r w:rsidDel="00000000" w:rsidR="00000000" w:rsidRPr="00000000">
              <w:rPr>
                <w:rFonts w:ascii="Noto Sans Arabic" w:cs="Noto Sans Arabic" w:eastAsia="Noto Sans Arabic" w:hAnsi="Noto Sans Arabic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oto Sans Arabic" w:cs="Noto Sans Arabic" w:eastAsia="Noto Sans Arabic" w:hAnsi="Noto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200" w:before="0" w:line="240" w:lineRule="auto"/>
        <w:rPr>
          <w:rFonts w:ascii="Noto Sans Arabic" w:cs="Noto Sans Arabic" w:eastAsia="Noto Sans Arabic" w:hAnsi="Noto Sans Arabi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Arabic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bidi w:val="1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bidi w:val="1"/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Arial"/>
      </a:majorFont>
      <a:minorFont>
        <a:latin typeface="Cambria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wiGqthhrWf7OcWvbvQbf7GisYw==">CgMxLjAyDmgudWMwdjFlZjM3bnpxMg5oLnlqbGZycWg1cTZyNzIOaC5zY2VvOHg0NGE4eDcyDmguN3dvZDBncGIwa3QzOAByITFheDBkMG1lcEdXal9pcVV2YmYxbVN5aXdCQl9uRlU0Zw==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