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6"/>
          <w:szCs w:val="36"/>
        </w:rPr>
      </w:pPr>
      <w:bookmarkStart w:colFirst="0" w:colLast="0" w:name="_31h0dmiql3mr" w:id="0"/>
      <w:bookmarkEnd w:id="0"/>
      <w:r w:rsidDel="00000000" w:rsidR="00000000" w:rsidRPr="00000000">
        <w:rPr>
          <w:sz w:val="36"/>
          <w:szCs w:val="36"/>
          <w:rtl w:val="0"/>
        </w:rPr>
        <w:t xml:space="preserve">4.2 СТРАТЕГИИ НЕПРЕРЫВНОСТИ И ВОССТАНОВЛЕНИЯ 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Выберите одну важную функцию, приоритет которой обозначен как "Критический" и целевое время восстановления которой составляет &lt;1 час или 1–8 часов. Заполните следующие данные о важной функции и разработайте стратегии обеспечения непрерывности и восстановления для каждого типа сбоев.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Основная бизнес-функция: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48.33007812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Приоритет восстановления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Критический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Целевое время восстановления: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каково максимальное время простоя для этой функции, после которого возникнут операционные и/или финансовые последствия? 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часа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часов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часов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часов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0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Кто выполняет эту функцию?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Менеджер/супервайзер: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Дополнительный персонал: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Поставщики/продавцы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Кто мог бы выступить в качестве альтернативы/заместителя?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Менеджер/супервайзер: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Дополнительный персонал: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Поставщики/продавцы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Краткое описание того, как выполнить эту функцию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Требуемое обучение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Что необходимо для выполнения этой функции?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Оборудование: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Записи/отчеты: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Расходные материалы: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Коммунальные услуги: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Площадь: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4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Вклады/Взаимозависимости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Кто использует результаты этой функции?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Основное местоположение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Альтернативное местоположение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Обязательства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Никаких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Юридические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Договорные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Нормативные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Финансовые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Потерянные деньги (или наложенные штрафы) без функции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Стратегии непрерывности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доступе к объекту: 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обслуживании из-за сокращения персонала: 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обслуживании из-за сбоя оборудования или системы: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Стратегии восстановления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доступе к объекту: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обслуживании из-за сокращения персонала: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Отказ в обслуживании из-за сбоя оборудования или системы: </w:t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9971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0317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