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right="-360"/>
        <w:rPr>
          <w:rFonts w:ascii="Lora" w:cs="Lora" w:eastAsia="Lora" w:hAnsi="Lora"/>
        </w:rPr>
      </w:pPr>
      <w:bookmarkStart w:colFirst="0" w:colLast="0" w:name="_31h0dmiql3mr" w:id="0"/>
      <w:bookmarkEnd w:id="0"/>
      <w:r w:rsidDel="00000000" w:rsidR="00000000" w:rsidRPr="00000000">
        <w:rPr>
          <w:sz w:val="36"/>
          <w:szCs w:val="36"/>
          <w:rtl w:val="0"/>
        </w:rPr>
        <w:t xml:space="preserve">4.2 持續營運與復原策略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請找出一項被標記為「關鍵」的重要基本業務運作，它的復原時間目標必須在 1 小時內，或是 1 到 8 小時之間。把這個運作的細節寫清楚，並為每種營運中斷情況想出持續營運和復原的做法。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重要基本業務運作：</w:t>
            </w:r>
          </w:p>
        </w:tc>
      </w:tr>
      <w:tr>
        <w:trPr>
          <w:cantSplit w:val="0"/>
          <w:trHeight w:val="1848.330078125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復原優先等級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最關鍵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高優先關注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中優先關注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低優先關注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72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復原時間目標： 此運作在造成營運或財務影響之前，所能容許的最長停頓時間為：</w:t>
            </w:r>
            <w:r w:rsidDel="00000000" w:rsidR="00000000" w:rsidRPr="00000000">
              <w:rPr>
                <w:rFonts w:ascii="SimSun" w:cs="SimSun" w:eastAsia="SimSun" w:hAnsi="SimSun"/>
                <w:i w:val="1"/>
                <w:sz w:val="20"/>
                <w:szCs w:val="20"/>
                <w:rtl w:val="0"/>
              </w:rPr>
              <w:t xml:space="preserve">此運作在造成營運或財務影響之前，所能容許的最長停頓時間為：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 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復原時間目標：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經理/主管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其他員工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供應商／供貨商：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誰能作為替補或後備人選？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經理/主管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其他員工：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供應商／供貨商：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如何執行此運作的簡要描述: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必需培訓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要做這個運作需要什麼？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設備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檔案/報告：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用品：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公用事業 (如水電)：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u w:val="single"/>
                <w:rtl w:val="0"/>
              </w:rPr>
              <w:t xml:space="preserve">空間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 </w:t>
            </w:r>
          </w:p>
        </w:tc>
      </w:tr>
      <w:tr>
        <w:trPr>
          <w:cantSplit w:val="0"/>
          <w:trHeight w:val="141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相互倚賴關係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誰會用到這個運作的結果？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主要地點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備用/後備地點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責任義務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沒有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法律性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合同性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​​法規遵守性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財務性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若該運作無法執行，可能造成的損失或罰款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持續營運策略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因無法進入設施而造成的營運中斷：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因人力縮減而導致的營運中斷：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ind w:left="0" w:firstLine="0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因設備或系統故障而導致的營運中斷：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營運持續策略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無法進入場地時：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因員工人數不足造成的營運中斷：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因設備或系統出現故障造成的營運中斷：</w:t>
            </w:r>
          </w:p>
        </w:tc>
      </w:tr>
    </w:tbl>
    <w:p w:rsidR="00000000" w:rsidDel="00000000" w:rsidP="00000000" w:rsidRDefault="00000000" w:rsidRPr="00000000" w14:paraId="00000044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55646" cy="339407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9971" l="4006" r="3205" t="8262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33093" cy="338767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317" l="4166" r="3685" t="8492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Gungsuh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