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line="240" w:lineRule="auto"/>
        <w:ind w:right="-360"/>
        <w:rPr>
          <w:rFonts w:ascii="Noto Sans Arabic" w:cs="Noto Sans Arabic" w:eastAsia="Noto Sans Arabic" w:hAnsi="Noto Sans Arabic"/>
          <w:sz w:val="36"/>
          <w:szCs w:val="36"/>
        </w:rPr>
      </w:pPr>
      <w:bookmarkStart w:colFirst="0" w:colLast="0" w:name="_heading=h.ehrm9ez76l19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4.2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استراتيجيات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واستعادتها</w:t>
      </w:r>
      <w:r w:rsidDel="00000000" w:rsidR="00000000" w:rsidRPr="00000000">
        <w:rPr>
          <w:rFonts w:ascii="Noto Sans Arabic" w:cs="Noto Sans Arabic" w:eastAsia="Noto Sans Arabic" w:hAnsi="Noto Sans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00" w:before="20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حدد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عملية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واحدة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أولوية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“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حرجة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”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ولها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وقت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استعادة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مستهدف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ُ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قدر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بأقل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واحدة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1 - 8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ساعات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أكمل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التفاصيل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حول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العملية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الأساسية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وض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ّ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ْ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استراتيجيات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واستعادتها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لكل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نوع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الكوارث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8.330078125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أولوية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الاستعادة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bidi w:val="1"/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عالية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متوسطة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منخفضة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زمن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الحد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الأقصى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لزمن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التوقف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لهذه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يبدأ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الأثر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التشغيلي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المالي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الظهور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i w:val="1"/>
                <w:sz w:val="20"/>
                <w:szCs w:val="20"/>
                <w:rtl w:val="1"/>
              </w:rPr>
              <w:t xml:space="preserve">؟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bidi w:val="1"/>
              <w:spacing w:before="0"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&lt;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واحدة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1 - 8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ساعات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8 - 24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24 - 72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 72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ساعة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الذي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يؤدي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11">
            <w:pPr>
              <w:widowControl w:val="0"/>
              <w:bidi w:val="1"/>
              <w:spacing w:before="10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المدير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المشرف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bidi w:val="1"/>
              <w:spacing w:before="30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فريق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إضافي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bidi w:val="1"/>
              <w:spacing w:before="30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الموردون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البائعون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يمكنه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يعمل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كبديل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احتياطي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15">
            <w:pPr>
              <w:widowControl w:val="0"/>
              <w:bidi w:val="1"/>
              <w:spacing w:before="10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المدير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المشرف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bidi w:val="1"/>
              <w:spacing w:before="30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فريق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إضافي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bidi w:val="1"/>
              <w:spacing w:before="30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الموردون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البائعون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ْ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كيفية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أداء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بصورة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موجزة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التدريب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المطلوب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المطلوب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لأداء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؟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bidi w:val="1"/>
              <w:spacing w:before="24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rtl w:val="1"/>
              </w:rPr>
              <w:t xml:space="preserve">المعدات</w:t>
            </w:r>
          </w:p>
          <w:p w:rsidR="00000000" w:rsidDel="00000000" w:rsidP="00000000" w:rsidRDefault="00000000" w:rsidRPr="00000000" w14:paraId="0000001D">
            <w:pPr>
              <w:widowControl w:val="0"/>
              <w:bidi w:val="1"/>
              <w:spacing w:before="24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السجلات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bidi w:val="1"/>
              <w:spacing w:before="24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المستلزمات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bidi w:val="1"/>
              <w:spacing w:before="24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المرافق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bidi w:val="1"/>
              <w:spacing w:after="200" w:before="24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المساحة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sz w:val="20"/>
                <w:szCs w:val="20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المدخلات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الاعتمادات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المتبادلة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يستخدم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المخرجات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الناتجة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الأساسي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0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الموقع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البديل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00"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الالتزامات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يوجد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قانونية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تعاقدية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تنظيمية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720" w:hanging="36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الخسائر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المالية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الغرامات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حال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توقف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العملية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00"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استمرارية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الأعمال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تعذر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دخول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المنشآة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قلة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العمالة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Noto Sans Arabic" w:cs="Noto Sans Arabic" w:eastAsia="Noto Sans Arabic" w:hAnsi="Noto Sans Arab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الأعمال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تعذر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دخول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المنشآة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قلة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العمالة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spacing w:line="240" w:lineRule="auto"/>
              <w:rPr>
                <w:rFonts w:ascii="Noto Sans Arabic" w:cs="Noto Sans Arabic" w:eastAsia="Noto Sans Arabic" w:hAnsi="Noto Sans Arab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الخدمة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الأنظمة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="240" w:lineRule="auto"/>
        <w:rPr>
          <w:rFonts w:ascii="Noto Sans Arabic" w:cs="Noto Sans Arabic" w:eastAsia="Noto Sans Arabic" w:hAnsi="Noto Sans Arab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Noto Sans Arabic" w:cs="Noto Sans Arabic" w:eastAsia="Noto Sans Arabic" w:hAnsi="Noto Sans Arab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before="0" w:line="240" w:lineRule="auto"/>
        <w:ind w:left="-720" w:firstLine="0"/>
        <w:rPr>
          <w:rFonts w:ascii="Noto Sans Arabic" w:cs="Noto Sans Arabic" w:eastAsia="Noto Sans Arabic" w:hAnsi="Noto Sans Arabic"/>
          <w:sz w:val="12"/>
          <w:szCs w:val="12"/>
        </w:rPr>
      </w:pPr>
      <w:r w:rsidDel="00000000" w:rsidR="00000000" w:rsidRPr="00000000">
        <w:rPr>
          <w:rFonts w:ascii="Noto Sans Arabic" w:cs="Noto Sans Arabic" w:eastAsia="Noto Sans Arabic" w:hAnsi="Noto Sans Arabic"/>
          <w:sz w:val="12"/>
          <w:szCs w:val="12"/>
        </w:rPr>
        <w:drawing>
          <wp:inline distB="114300" distT="114300" distL="114300" distR="114300">
            <wp:extent cx="6855646" cy="3394075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9970" l="4006" r="3205" t="8262"/>
                    <a:stretch>
                      <a:fillRect/>
                    </a:stretch>
                  </pic:blipFill>
                  <pic:spPr>
                    <a:xfrm>
                      <a:off x="0" y="0"/>
                      <a:ext cx="6855646" cy="339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-720" w:firstLine="0"/>
        <w:rPr>
          <w:rFonts w:ascii="Noto Sans Arabic" w:cs="Noto Sans Arabic" w:eastAsia="Noto Sans Arabic" w:hAnsi="Noto Sans Arab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-720" w:firstLine="0"/>
        <w:rPr>
          <w:rFonts w:ascii="Noto Sans Arabic" w:cs="Noto Sans Arabic" w:eastAsia="Noto Sans Arabic" w:hAnsi="Noto Sans Arabic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after="0" w:before="0" w:line="240" w:lineRule="auto"/>
        <w:ind w:left="-720" w:firstLine="0"/>
        <w:rPr>
          <w:rFonts w:ascii="Noto Sans Arabic" w:cs="Noto Sans Arabic" w:eastAsia="Noto Sans Arabic" w:hAnsi="Noto Sans Arabic"/>
          <w:sz w:val="12"/>
          <w:szCs w:val="12"/>
        </w:rPr>
      </w:pPr>
      <w:r w:rsidDel="00000000" w:rsidR="00000000" w:rsidRPr="00000000">
        <w:rPr>
          <w:rFonts w:ascii="Noto Sans Arabic" w:cs="Noto Sans Arabic" w:eastAsia="Noto Sans Arabic" w:hAnsi="Noto Sans Arabic"/>
          <w:sz w:val="12"/>
          <w:szCs w:val="12"/>
        </w:rPr>
        <w:drawing>
          <wp:inline distB="114300" distT="114300" distL="114300" distR="114300">
            <wp:extent cx="6833093" cy="3387674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10316" l="4166" r="3685" t="8492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Arabic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ora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bidi w:val="1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bidi w:val="1"/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Arabic-regular.ttf"/><Relationship Id="rId2" Type="http://schemas.openxmlformats.org/officeDocument/2006/relationships/font" Target="fonts/NotoSansArabic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10" Type="http://schemas.openxmlformats.org/officeDocument/2006/relationships/font" Target="fonts/Lora-boldItalic.ttf"/><Relationship Id="rId9" Type="http://schemas.openxmlformats.org/officeDocument/2006/relationships/font" Target="fonts/Lora-italic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Lora-regular.ttf"/><Relationship Id="rId8" Type="http://schemas.openxmlformats.org/officeDocument/2006/relationships/font" Target="fonts/Lor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Arial"/>
      </a:majorFont>
      <a:minorFont>
        <a:latin typeface="Cambria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yg73vhYfnw/709SlLw8w4A4wA==">CgMxLjAyDmguZWhybTllejc2bDE5OAByITFZV2pkS1ppWS1vMDI2WUp5bno4QTNJR1JuVXFIeF9FTw==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