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-630" w:firstLine="0"/>
        <w:rPr>
          <w:sz w:val="36"/>
          <w:szCs w:val="36"/>
        </w:rPr>
      </w:pPr>
      <w:bookmarkStart w:colFirst="0" w:colLast="0" w:name="_jb37u4fpd7d9" w:id="0"/>
      <w:bookmarkEnd w:id="0"/>
      <w:r w:rsidDel="00000000" w:rsidR="00000000" w:rsidRPr="00000000">
        <w:rPr>
          <w:sz w:val="36"/>
          <w:szCs w:val="36"/>
          <w:rtl w:val="0"/>
        </w:rPr>
        <w:t xml:space="preserve">4.1 重要基本的运作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-630" w:right="-630" w:firstLine="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SimSun" w:cs="SimSun" w:eastAsia="SimSun" w:hAnsi="SimSun"/>
          <w:sz w:val="20"/>
          <w:szCs w:val="20"/>
          <w:rtl w:val="0"/>
        </w:rPr>
        <w:t xml:space="preserve">请您列出你的组织在遇到运作中断时，必须保持营运或马上恢复的主要业务及工作，好让避免生意受损或无法继续。</w:t>
      </w:r>
    </w:p>
    <w:tbl>
      <w:tblPr>
        <w:tblStyle w:val="Table1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ind w:left="6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基本</w:t>
            </w: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重要业务运作功能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：</w:t>
            </w: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你的公司最重要的产品和服务是什么？它们是如何带来收入或服务客户的？有哪些流程是公司运作必须的，才能把产品或服务交付出去？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复原优先次序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：</w:t>
            </w: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此功能有多重要？考虑哪些营运中断可能造成更大影响（例如：特定季节、月底、季度结算时）。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恢复时间目标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：</w:t>
              <w:br w:type="textWrapping"/>
            </w: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在营运和/或财务影响之前，此运作的最大停机时间是多少？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</w:tbl>
    <w:p w:rsidR="00000000" w:rsidDel="00000000" w:rsidP="00000000" w:rsidRDefault="00000000" w:rsidRPr="00000000" w14:paraId="00000043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246.97851562500205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6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基本</w:t>
            </w: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重要业务运作功能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9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复原优先次序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恢复时间目标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rHeight w:val="1175.999999999998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rHeight w:val="1056.0000000000014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  <w:tr>
        <w:trPr>
          <w:cantSplit w:val="0"/>
          <w:trHeight w:val="744.000000000002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小时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小时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小时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小时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72+小时</w:t>
            </w:r>
          </w:p>
        </w:tc>
      </w:tr>
    </w:tbl>
    <w:p w:rsidR="00000000" w:rsidDel="00000000" w:rsidP="00000000" w:rsidRDefault="00000000" w:rsidRPr="00000000" w14:paraId="0000008D">
      <w:pPr>
        <w:spacing w:after="200" w:before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45.0" w:type="dxa"/>
        <w:jc w:val="left"/>
        <w:tblInd w:w="-61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5175"/>
        <w:gridCol w:w="5370"/>
        <w:tblGridChange w:id="0">
          <w:tblGrid>
            <w:gridCol w:w="5175"/>
            <w:gridCol w:w="5370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shd w:fill="efefe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6"/>
                <w:szCs w:val="26"/>
                <w:rtl w:val="0"/>
              </w:rPr>
              <w:t xml:space="preserve">基本重要业务运作例子</w:t>
              <w:br w:type="textWrapping"/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设施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暖通空调/灯光照明/公用设施-水电</w:t>
              <w:br w:type="textWrapping"/>
              <w:t xml:space="preserve">运作与维护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安全与保障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运营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订单包装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生产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服务交付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法律/遵守法规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合约管理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遵循法规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填写与提交报告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人力资源部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人员排班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员工排班管理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人力资源资讯系统管理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财务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财务报告和预算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薪资处理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应付帐款/应收款项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行销与业务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行销业务推广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公共关系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通讯系统管理与维护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管理社群媒体和网站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领导层/策略管理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财务和日常营运决策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风险管理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和合作伙伴、顾客等的关系</w:t>
            </w:r>
          </w:p>
        </w:tc>
      </w:tr>
      <w:tr>
        <w:trPr>
          <w:cantSplit w:val="0"/>
          <w:trHeight w:val="1476.0000000000014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供应链/物流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供应库存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分配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供应商/供货商管理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资讯科技(IT)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资料及数据管理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网路服务权限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网路安全</w:t>
            </w:r>
          </w:p>
        </w:tc>
      </w:tr>
    </w:tbl>
    <w:p w:rsidR="00000000" w:rsidDel="00000000" w:rsidP="00000000" w:rsidRDefault="00000000" w:rsidRPr="00000000" w14:paraId="000000B4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5340"/>
        <w:tblGridChange w:id="0">
          <w:tblGrid>
            <w:gridCol w:w="5205"/>
            <w:gridCol w:w="5340"/>
          </w:tblGrid>
        </w:tblGridChange>
      </w:tblGrid>
      <w:tr>
        <w:trPr>
          <w:cantSplit w:val="0"/>
          <w:trHeight w:val="517.72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Rule="auto"/>
              <w:ind w:left="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6"/>
                <w:szCs w:val="26"/>
                <w:rtl w:val="0"/>
              </w:rPr>
              <w:t xml:space="preserve">面包店的业务营运例子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设施与营运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搓和面团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烘焙食品-面包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送货/运送产品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冷藏管理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储存管理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销售和客户交易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店内购买点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线上订单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供应链与库存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订购物资</w:t>
              <w:br w:type="textWrapping"/>
              <w:t xml:space="preserve">（如原料、容器等）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人事管理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员工安排及排班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薪资发放及管理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200" w:before="200" w:lineRule="auto"/>
        <w:ind w:left="-63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jc w:val="center"/>
      <w:rPr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spacing w:line="240" w:lineRule="auto"/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z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