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4.1 FUNCIONES EMPRESARIALES ESENCIALES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Elabore una lista de las funciones empresariales esenciales que su organización debe mantener o reanudar rápidamente tras una interrupción para evitar pérdidas o el fracaso del negocio. </w:t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771.6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Función empresarial esencial: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¿Cuáles son los productos y servicios principales de su empresa que generan ingresos o prestan servicio a los clientes? ¿Qué procesos son esenciales para sus operaciones y ayudan a suministrar sus productos o servicios?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Prioridad de recuperación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: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¿Cuál es el grado de criticidad de esta función? Considere los momentos en los que una interrupción tendría un mayor impacto (p. ej., temporada, fin de mes/trimestre, etc.).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Objetivo de tiempo de recuperación:</w:t>
            </w: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¿Cuál es el tiempo máximo de inactividad para esta función antes de que se produzcan repercusiones operativas y/o financieras?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hours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hours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hours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.97851562500205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Función empresarial esencial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Prioridad de recuperación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Objetivo de tiempo de recuperación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.999999999998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.000000000001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.000000000002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Ejemplos de funciones </w:t>
              <w:br w:type="textWrapping"/>
              <w:t xml:space="preserve">empresariales esenciales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Instalaciones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1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Climatización/Iluminación/Servicios públicos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1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Operaciones y mantenimiento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Seguridad y protección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Operaciones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Embalaje de pedidos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Producción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Entrega del servicio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Asuntos legales/Cumplimiento normativo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2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contratos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Cumplimiento normativo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2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Elaboración de informes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Recursos humanos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Programación del personal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Mantenimiento de registros de empleados 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sistemas de información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Finanzas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5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Informes financieros y presupuestos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Procesamiento de nóminas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Cuentas por pagar/por cobrar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Marketing/Ventas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4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Transacciones en puntos de venta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Relaciones públicas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Mantenimiento de sistemas de comunicación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redes sociales y sitios web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Gestión ejecutiva/estratégica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Decisiones financieras y operativas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riesgos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Relaciones con las partes interesadas</w:t>
            </w:r>
          </w:p>
        </w:tc>
      </w:tr>
      <w:tr>
        <w:trPr>
          <w:cantSplit w:val="0"/>
          <w:trHeight w:val="1476.0000000000014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Cadena de suministro/Logística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Inventario de suministros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Distribución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proveedores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Tecnología de información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0"/>
              </w:numPr>
              <w:spacing w:after="0" w:after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Gestión de datos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Acceso a Internet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Ciberseguridad</w:t>
            </w:r>
          </w:p>
        </w:tc>
      </w:tr>
    </w:tbl>
    <w:p w:rsidR="00000000" w:rsidDel="00000000" w:rsidP="00000000" w:rsidRDefault="00000000" w:rsidRPr="00000000" w14:paraId="000000B3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.72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Ejemplos de funciones empresariales para una panadería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Instalaciones y operaciones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Mezcla de masa 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Cocción de productos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Entrega de productos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Refrigeración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Almacenamiento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Ventas y transacciones con clientes 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Punto de venta en tienda 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Pedidos en línea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Cadena de suministro/Logística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Pedido de suministros</w:t>
              <w:br w:type="textWrapping"/>
              <w:t xml:space="preserve">(por ejemplo, ingredientes, envases,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Personal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Empleados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Nómina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before="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