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bidi w:val="1"/>
        <w:spacing w:line="240" w:lineRule="auto"/>
        <w:ind w:left="-630" w:firstLine="0"/>
        <w:rPr>
          <w:rFonts w:ascii="Noto Sans Arabic" w:cs="Noto Sans Arabic" w:eastAsia="Noto Sans Arabic" w:hAnsi="Noto Sans Arabic"/>
          <w:sz w:val="36"/>
          <w:szCs w:val="36"/>
        </w:rPr>
      </w:pPr>
      <w:bookmarkStart w:colFirst="0" w:colLast="0" w:name="_heading=h.v3jlxxcymra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sz w:val="36"/>
          <w:szCs w:val="36"/>
          <w:rtl w:val="1"/>
        </w:rPr>
        <w:t xml:space="preserve">4.1 </w:t>
      </w:r>
      <w:r w:rsidDel="00000000" w:rsidR="00000000" w:rsidRPr="00000000">
        <w:rPr>
          <w:rFonts w:ascii="Noto Sans Arabic" w:cs="Noto Sans Arabic" w:eastAsia="Noto Sans Arabic" w:hAnsi="Noto Sans Arabic"/>
          <w:sz w:val="36"/>
          <w:szCs w:val="36"/>
          <w:rtl w:val="1"/>
        </w:rPr>
        <w:t xml:space="preserve">العمليات</w:t>
      </w:r>
      <w:r w:rsidDel="00000000" w:rsidR="00000000" w:rsidRPr="00000000">
        <w:rPr>
          <w:rFonts w:ascii="Noto Sans Arabic" w:cs="Noto Sans Arabic" w:eastAsia="Noto Sans Arabic" w:hAnsi="Noto Sans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36"/>
          <w:szCs w:val="36"/>
          <w:rtl w:val="1"/>
        </w:rPr>
        <w:t xml:space="preserve">الأساسية</w:t>
      </w:r>
      <w:r w:rsidDel="00000000" w:rsidR="00000000" w:rsidRPr="00000000">
        <w:rPr>
          <w:rFonts w:ascii="Noto Sans Arabic" w:cs="Noto Sans Arabic" w:eastAsia="Noto Sans Arabic" w:hAnsi="Noto Sans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36"/>
          <w:szCs w:val="36"/>
          <w:rtl w:val="1"/>
        </w:rPr>
        <w:t xml:space="preserve">بالشركة</w:t>
      </w:r>
    </w:p>
    <w:p w:rsidR="00000000" w:rsidDel="00000000" w:rsidP="00000000" w:rsidRDefault="00000000" w:rsidRPr="00000000" w14:paraId="00000002">
      <w:pPr>
        <w:bidi w:val="1"/>
        <w:spacing w:after="200" w:before="200" w:line="240" w:lineRule="auto"/>
        <w:ind w:left="-630" w:right="-630" w:firstLine="0"/>
        <w:rPr>
          <w:rFonts w:ascii="Noto Sans Arabic" w:cs="Noto Sans Arabic" w:eastAsia="Noto Sans Arabic" w:hAnsi="Noto Sans Arabic"/>
          <w:sz w:val="20"/>
          <w:szCs w:val="20"/>
        </w:rPr>
      </w:pP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أعد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ّ 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قائمة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بالعمليات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الأساسية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التي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يجب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على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شركتك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المحافظة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عليها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استئنافها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بسرعة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بعد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وقوع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الكارثة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تحييد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خسائر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الشركة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إغلاقها</w:t>
      </w:r>
      <w:r w:rsidDel="00000000" w:rsidR="00000000" w:rsidRPr="00000000">
        <w:rPr>
          <w:rFonts w:ascii="Noto Sans Arabic" w:cs="Noto Sans Arabic" w:eastAsia="Noto Sans Arabic" w:hAnsi="Noto Sans Arabic"/>
          <w:sz w:val="20"/>
          <w:szCs w:val="20"/>
          <w:rtl w:val="1"/>
        </w:rPr>
        <w:t xml:space="preserve">.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605.0" w:type="dxa"/>
        <w:jc w:val="left"/>
        <w:tblInd w:w="-6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510"/>
        <w:gridCol w:w="3255"/>
        <w:tblGridChange w:id="0">
          <w:tblGrid>
            <w:gridCol w:w="3840"/>
            <w:gridCol w:w="3510"/>
            <w:gridCol w:w="3255"/>
          </w:tblGrid>
        </w:tblGridChange>
      </w:tblGrid>
      <w:tr>
        <w:trPr>
          <w:cantSplit w:val="0"/>
          <w:trHeight w:val="1771.6" w:hRule="atLeast"/>
          <w:tblHeader w:val="0"/>
        </w:trPr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3">
            <w:pPr>
              <w:bidi w:val="1"/>
              <w:spacing w:line="240" w:lineRule="auto"/>
              <w:ind w:left="60" w:firstLine="0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بالشركة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المنتجات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والخدمات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الرئيسية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عملك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تحقق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الإيرادات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تخدم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العملاء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؟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العمليات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عملياتك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التشغيلية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تساعد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تقديم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منتجاتك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خدماتك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؟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4">
            <w:pPr>
              <w:bidi w:val="1"/>
              <w:spacing w:line="240" w:lineRule="auto"/>
              <w:ind w:left="90" w:firstLine="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أولوية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الاستعادة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أهمية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هذه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العملية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؟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راعي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الأوقات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الممكن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أن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تكون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فيها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الكارثة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أكثر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أثر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مثل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مواسم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معينة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نهاية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الشهر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الربع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السنوي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خلافه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).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5">
            <w:pPr>
              <w:bidi w:val="1"/>
              <w:spacing w:line="240" w:lineRule="auto"/>
              <w:ind w:left="90" w:firstLine="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زمن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الاستعادة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المستهدف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br w:type="textWrapping"/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الحد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الأقصى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لزمن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التوقف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لهذه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قبل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يبدأ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الأثر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التشغيلي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المالي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كلاهما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الظهور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؟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7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حرجة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عالية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متوسطة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منخفضة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&lt;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واحدة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1 - 8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ساعات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8 - 24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24 - 72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أكثر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72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حرجة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عالية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متوسطة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منخفضة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&lt;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واحدة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1 - 8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ساعات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8 - 24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24 - 72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أكثر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72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حرجة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عالية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متوسطة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منخفضة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&lt;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واحدة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1 - 8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ساعات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8 - 24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24 - 72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أكثر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72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حرجة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عالية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متوسطة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منخفضة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&lt;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واحدة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1 - 8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ساعات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8 - 24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24 - 72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أكثر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72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F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حرجة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عالية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متوسطة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منخفضة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&lt;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واحدة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1 - 8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ساعات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8 - 24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24 - 72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أكثر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72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حرجة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عالية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متوسطة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منخفضة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&lt;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واحدة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1 - 8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ساعات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8 - 24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24 - 72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أكثر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72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</w:tc>
      </w:tr>
    </w:tbl>
    <w:p w:rsidR="00000000" w:rsidDel="00000000" w:rsidP="00000000" w:rsidRDefault="00000000" w:rsidRPr="00000000" w14:paraId="00000042">
      <w:pPr>
        <w:bidi w:val="1"/>
        <w:spacing w:after="0" w:before="0" w:line="240" w:lineRule="auto"/>
        <w:rPr>
          <w:rFonts w:ascii="Noto Sans Arabic" w:cs="Noto Sans Arabic" w:eastAsia="Noto Sans Arabic" w:hAnsi="Noto Sans Arabic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605.0" w:type="dxa"/>
        <w:jc w:val="left"/>
        <w:tblInd w:w="-6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510"/>
        <w:gridCol w:w="3255"/>
        <w:tblGridChange w:id="0">
          <w:tblGrid>
            <w:gridCol w:w="3840"/>
            <w:gridCol w:w="3510"/>
            <w:gridCol w:w="3255"/>
          </w:tblGrid>
        </w:tblGridChange>
      </w:tblGrid>
      <w:tr>
        <w:trPr>
          <w:cantSplit w:val="0"/>
          <w:trHeight w:val="246.97851562500205" w:hRule="atLeast"/>
          <w:tblHeader w:val="0"/>
        </w:trPr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3">
            <w:pPr>
              <w:bidi w:val="1"/>
              <w:spacing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الأساسي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بالشركة</w:t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4">
            <w:pPr>
              <w:bidi w:val="1"/>
              <w:spacing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أولوية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الاستعادة</w:t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5">
            <w:pPr>
              <w:bidi w:val="1"/>
              <w:spacing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زمن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الاستعادة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المستهدف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bidi w:val="1"/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7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حرجة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عالية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متوسطة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منخفضة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&lt;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واحدة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1 - 8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ساعات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8 - 24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24 - 72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أكثر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72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bidi w:val="1"/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حرجة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عالية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متوسطة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منخفضة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5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&lt;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واحدة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1 - 8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ساعات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8 - 24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24 - 72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أكثر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72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bidi w:val="1"/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B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حرجة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عالية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متوسطة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منخفضة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F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&lt;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واحدة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1 - 8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ساعات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8 - 24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24 - 72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أكثر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72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bidi w:val="1"/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5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حرجة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عالية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متوسطة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منخفضة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9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&lt;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واحدة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1 - 8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ساعات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8 - 24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24 - 72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أكثر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72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</w:tc>
      </w:tr>
      <w:tr>
        <w:trPr>
          <w:cantSplit w:val="0"/>
          <w:trHeight w:val="1175.999999999998" w:hRule="atLeast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bidi w:val="1"/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F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حرجة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عالية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متوسطة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منخفضة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3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&lt;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واحدة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1 - 8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ساعات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8 - 24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24 - 72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أكثر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72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</w:tc>
      </w:tr>
      <w:tr>
        <w:trPr>
          <w:cantSplit w:val="0"/>
          <w:trHeight w:val="1056.0000000000014" w:hRule="atLeast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bidi w:val="1"/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9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حرجة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عالية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متوسطة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منخفضة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D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&lt;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واحدة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1 - 8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ساعات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8 - 24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24 - 72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أكثر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72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</w:tc>
      </w:tr>
      <w:tr>
        <w:trPr>
          <w:cantSplit w:val="0"/>
          <w:trHeight w:val="744.000000000002" w:hRule="atLeast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bidi w:val="1"/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3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حرجة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عالية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متوسطة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8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منخفضة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7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&lt;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واحدة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1 - 8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ساعات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8 - 24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24 - 72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1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أكثر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72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</w:tc>
      </w:tr>
    </w:tbl>
    <w:p w:rsidR="00000000" w:rsidDel="00000000" w:rsidP="00000000" w:rsidRDefault="00000000" w:rsidRPr="00000000" w14:paraId="0000008C">
      <w:pPr>
        <w:bidi w:val="1"/>
        <w:spacing w:after="200" w:before="20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bidi w:val="1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545.0" w:type="dxa"/>
        <w:jc w:val="left"/>
        <w:tblInd w:w="-615.0" w:type="dxa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5175"/>
        <w:gridCol w:w="5370"/>
        <w:tblGridChange w:id="0">
          <w:tblGrid>
            <w:gridCol w:w="5175"/>
            <w:gridCol w:w="5370"/>
          </w:tblGrid>
        </w:tblGridChange>
      </w:tblGrid>
      <w:tr>
        <w:trPr>
          <w:cantSplit w:val="0"/>
          <w:trHeight w:val="1455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shd w:fill="efefe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bidi w:val="1"/>
              <w:spacing w:line="240" w:lineRule="auto"/>
              <w:ind w:left="0" w:firstLine="0"/>
              <w:rPr>
                <w:rFonts w:ascii="Noto Sans Arabic" w:cs="Noto Sans Arabic" w:eastAsia="Noto Sans Arabic" w:hAnsi="Noto Sans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6"/>
                <w:szCs w:val="26"/>
                <w:rtl w:val="1"/>
              </w:rPr>
              <w:t xml:space="preserve">أمثلة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6"/>
                <w:szCs w:val="26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6"/>
                <w:szCs w:val="26"/>
                <w:rtl w:val="1"/>
              </w:rPr>
              <w:t xml:space="preserve">للوظائف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6"/>
                <w:szCs w:val="26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6"/>
                <w:szCs w:val="26"/>
                <w:rtl w:val="1"/>
              </w:rPr>
              <w:t xml:space="preserve">بالشركة</w:t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bidi w:val="1"/>
              <w:spacing w:after="10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المنشآت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3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الإشراف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تشغيل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br w:type="textWrapping"/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أجهزة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التكييف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الإضاءة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المرافق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العامة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وصيانتها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3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السلامة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والأمن</w:t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bidi w:val="1"/>
              <w:spacing w:after="10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العمليات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11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تغليف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الطلبات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11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الإنتاج</w:t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11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تقديم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الخدمات</w:t>
            </w:r>
          </w:p>
        </w:tc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bidi w:val="1"/>
              <w:spacing w:after="10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الشؤون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القانونية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الامتثال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إدارة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العقود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الامتثال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للوائح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التنظيمية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4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إعداد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التقارير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bidi w:val="1"/>
              <w:spacing w:after="10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الموارد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البشرية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6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جدولة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الموظفين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6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متابعة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سجلات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الموظفين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6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إدارة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معلومات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الموارد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البشرية</w:t>
            </w:r>
          </w:p>
        </w:tc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bidi w:val="1"/>
              <w:spacing w:after="10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الإدارة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المالية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7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إعداد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التقارير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والميزانيات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المالية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7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مشكلة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الرواتب</w:t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7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الذمم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الدائنة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المدينة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bidi w:val="1"/>
              <w:spacing w:after="10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التسويق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المبيعات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10"/>
              </w:numPr>
              <w:bidi w:val="1"/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معاملات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نقاط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البيع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10"/>
              </w:numPr>
              <w:bidi w:val="1"/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العلاقات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العامة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10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صيانة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الاتصال</w:t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10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إدارة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وسائل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التواصل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الاجتماعي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والمواقع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الإلكترونية</w:t>
            </w:r>
          </w:p>
        </w:tc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bidi w:val="1"/>
              <w:spacing w:after="10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الإدارة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التنفيذية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الاستراتيجية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9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القرارات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المالية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والتشغيلية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9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إدارة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المخاطر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9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علاقات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أصحاب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المصلحة</w:t>
            </w:r>
          </w:p>
        </w:tc>
      </w:tr>
      <w:tr>
        <w:trPr>
          <w:cantSplit w:val="0"/>
          <w:trHeight w:val="1476.0000000000014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bidi w:val="1"/>
              <w:spacing w:after="10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سلسلة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الإمداد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الأعمال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اللوجستية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5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مخزون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التوريد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5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التوزيع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5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إدارة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البائعين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الموردين</w:t>
            </w:r>
          </w:p>
        </w:tc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bidi w:val="1"/>
              <w:spacing w:after="10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تكنولوجيا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المعلومات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2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إدارة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البيانات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2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الوصول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الإنترنت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2"/>
              </w:numPr>
              <w:bidi w:val="1"/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السيبراني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3">
      <w:pPr>
        <w:bidi w:val="1"/>
        <w:spacing w:after="0" w:before="0" w:lineRule="auto"/>
        <w:ind w:left="-630" w:firstLine="0"/>
        <w:rPr>
          <w:rFonts w:ascii="Noto Sans Arabic" w:cs="Noto Sans Arabic" w:eastAsia="Noto Sans Arabic" w:hAnsi="Noto Sans Arabic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545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05"/>
        <w:gridCol w:w="5340"/>
        <w:tblGridChange w:id="0">
          <w:tblGrid>
            <w:gridCol w:w="5205"/>
            <w:gridCol w:w="5340"/>
          </w:tblGrid>
        </w:tblGridChange>
      </w:tblGrid>
      <w:tr>
        <w:trPr>
          <w:cantSplit w:val="0"/>
          <w:trHeight w:val="517.72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bidi w:val="1"/>
              <w:spacing w:after="0" w:before="0" w:lineRule="auto"/>
              <w:ind w:left="0" w:firstLine="0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6"/>
                <w:szCs w:val="26"/>
                <w:rtl w:val="1"/>
              </w:rPr>
              <w:t xml:space="preserve">أمثلة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6"/>
                <w:szCs w:val="26"/>
                <w:rtl w:val="1"/>
              </w:rPr>
              <w:t xml:space="preserve">لأعمال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6"/>
                <w:szCs w:val="26"/>
                <w:rtl w:val="1"/>
              </w:rPr>
              <w:t xml:space="preserve">الشركة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6"/>
                <w:szCs w:val="26"/>
                <w:rtl w:val="1"/>
              </w:rPr>
              <w:t xml:space="preserve">قطاع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6"/>
                <w:szCs w:val="26"/>
                <w:rtl w:val="1"/>
              </w:rPr>
              <w:t xml:space="preserve">المخابز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bidi w:val="1"/>
              <w:spacing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المرافق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المستخدمة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والعمليات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التشغيلية</w:t>
            </w:r>
          </w:p>
          <w:p w:rsidR="00000000" w:rsidDel="00000000" w:rsidP="00000000" w:rsidRDefault="00000000" w:rsidRPr="00000000" w14:paraId="000000B7">
            <w:pPr>
              <w:widowControl w:val="0"/>
              <w:numPr>
                <w:ilvl w:val="0"/>
                <w:numId w:val="12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خلط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العجين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12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خبز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المنتجات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12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توصيل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المنتجات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12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التبريد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0"/>
                <w:numId w:val="12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التخزين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المبيعات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ومعاملات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العملاء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1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عمليات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الشراء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داخل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المتجر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1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الطلبات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عبر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الإنترنت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سلسلة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الإمداد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والمخزون</w:t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15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طلب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المستلزمات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  <w:br w:type="textWrapping"/>
              <w:t xml:space="preserve">(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مثل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المكونات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والعبوات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وخلافه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bidi w:val="1"/>
              <w:spacing w:before="0"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الموظفون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13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التوظيف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13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صرف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الرواتب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bidi w:val="1"/>
        <w:spacing w:after="200" w:before="200" w:lineRule="auto"/>
        <w:ind w:left="-630" w:firstLine="0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Sans Arabic">
    <w:embedRegular w:fontKey="{00000000-0000-0000-0000-000000000000}" r:id="rId1" w:subsetted="0"/>
    <w:embedBold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Lora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bidi w:val="1"/>
      <w:jc w:val="center"/>
      <w:rPr>
        <w:sz w:val="20"/>
        <w:szCs w:val="2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bidi w:val="1"/>
      <w:spacing w:line="240" w:lineRule="auto"/>
      <w:ind w:left="-720" w:firstLine="0"/>
      <w:rPr/>
    </w:pPr>
    <w:r w:rsidDel="00000000" w:rsidR="00000000" w:rsidRPr="00000000">
      <w:rPr/>
      <w:drawing>
        <wp:inline distB="114300" distT="114300" distL="114300" distR="114300">
          <wp:extent cx="2159749" cy="547688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20" w:line="240" w:lineRule="auto"/>
    </w:pPr>
    <w:rPr>
      <w:rFonts w:ascii="Arial" w:cs="Arial" w:eastAsia="Arial" w:hAnsi="Arial"/>
      <w:b w:val="1"/>
      <w:smallCaps w:val="1"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fb4d42"/>
      <w:sz w:val="21"/>
      <w:szCs w:val="2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pPr/>
    <w:rPr/>
    <w:tblPr>
      <w:tblStyleRowBandSize w:val="1"/>
      <w:tblStyleColBandSize w:val="1"/>
      <w:tblCellMar/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  <w:style w:type="table" w:styleId="Table4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Arabic-regular.ttf"/><Relationship Id="rId2" Type="http://schemas.openxmlformats.org/officeDocument/2006/relationships/font" Target="fonts/NotoSansArabic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10" Type="http://schemas.openxmlformats.org/officeDocument/2006/relationships/font" Target="fonts/Lora-boldItalic.ttf"/><Relationship Id="rId9" Type="http://schemas.openxmlformats.org/officeDocument/2006/relationships/font" Target="fonts/Lora-italic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Relationship Id="rId7" Type="http://schemas.openxmlformats.org/officeDocument/2006/relationships/font" Target="fonts/Lora-regular.ttf"/><Relationship Id="rId8" Type="http://schemas.openxmlformats.org/officeDocument/2006/relationships/font" Target="fonts/Lor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Arial"/>
      </a:majorFont>
      <a:minorFont>
        <a:latin typeface="Cambria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k1onrYdH3aqXkTsLV7mOoFfQvg==">CgMxLjAyDWgudjNqbHh4Y3ltcmE4AHIhMXVtR2xHWXJiWkR1RkYxc3hOaDlfdU9hdDhIQkZkdFJo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