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شعار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]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05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bidi w:val="1"/>
        <w:spacing w:line="240" w:lineRule="auto"/>
        <w:jc w:val="center"/>
        <w:rPr>
          <w:rFonts w:ascii="Noto Sans Arabic" w:cs="Noto Sans Arabic" w:eastAsia="Noto Sans Arabic" w:hAnsi="Noto Sans Arabic"/>
        </w:rPr>
      </w:pPr>
      <w:bookmarkStart w:colFirst="0" w:colLast="0" w:name="_heading=h.me87aof1nmto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المؤسسة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bidi w:val="1"/>
        <w:spacing w:line="240" w:lineRule="auto"/>
        <w:jc w:val="center"/>
        <w:rPr>
          <w:rFonts w:ascii="Noto Sans Arabic" w:cs="Noto Sans Arabic" w:eastAsia="Noto Sans Arabic" w:hAnsi="Noto Sans Arabic"/>
        </w:rPr>
      </w:pPr>
      <w:bookmarkStart w:colFirst="0" w:colLast="0" w:name="_heading=h.k2v95di5z97v" w:id="1"/>
      <w:bookmarkEnd w:id="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</w:p>
    <w:p w:rsidR="00000000" w:rsidDel="00000000" w:rsidP="00000000" w:rsidRDefault="00000000" w:rsidRPr="00000000" w14:paraId="0000000B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الشهر</w:t>
      </w: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40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إخطار</w:t>
      </w:r>
    </w:p>
    <w:p w:rsidR="00000000" w:rsidDel="00000000" w:rsidP="00000000" w:rsidRDefault="00000000" w:rsidRPr="00000000" w14:paraId="00000010">
      <w:pPr>
        <w:bidi w:val="1"/>
        <w:spacing w:after="20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مدينة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بوسطن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قوي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لبرنامج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والاستجابة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والتعافي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استبدال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إلغاء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معايير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  <w:br w:type="textWrapping"/>
        <w:br w:type="textWrapping"/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المطبقة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أعمالك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منشأتك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ليست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بديلا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اللوائح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الحكومية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الفيدرالية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المعايير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القياسية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يتوافق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المطبقة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240" w:lineRule="auto"/>
        <w:ind w:right="-450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يشتمل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العناصر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مراجعة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بعناية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وتعديل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يتناسب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طبيعة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وعملياتها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واحتياجاتها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تحتاج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تعديلات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الأقواس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تطوير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برنامج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ومصمم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خصيص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لشركتك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240" w:lineRule="auto"/>
        <w:ind w:right="-450"/>
        <w:jc w:val="left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40" w:lineRule="auto"/>
        <w:ind w:right="0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</w:rPr>
        <w:drawing>
          <wp:inline distB="114300" distT="114300" distL="114300" distR="114300">
            <wp:extent cx="1132816" cy="11328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816" cy="11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ind w:right="-450"/>
        <w:jc w:val="left"/>
        <w:rPr>
          <w:rFonts w:ascii="Noto Sans Arabic" w:cs="Noto Sans Arabic" w:eastAsia="Noto Sans Arabic" w:hAnsi="Noto Sans Arabic"/>
          <w:b w:val="1"/>
          <w:color w:val="00447b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40" w:lineRule="auto"/>
        <w:ind w:right="-450"/>
        <w:jc w:val="left"/>
        <w:rPr>
          <w:rFonts w:ascii="Noto Sans Arabic" w:cs="Noto Sans Arabic" w:eastAsia="Noto Sans Arabic" w:hAnsi="Noto Sans Arabic"/>
          <w:b w:val="1"/>
          <w:sz w:val="48"/>
          <w:szCs w:val="48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color w:val="00447b"/>
          <w:sz w:val="48"/>
          <w:szCs w:val="48"/>
          <w:rtl w:val="1"/>
        </w:rPr>
        <w:t xml:space="preserve">المحتويات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40" w:lineRule="auto"/>
        <w:ind w:right="-450"/>
        <w:jc w:val="left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id w:val="31620876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5,5,Heading 6,6,"</w:instrText>
            <w:fldChar w:fldCharType="separate"/>
          </w:r>
          <w:hyperlink w:anchor="_heading=h.q8wl9rtbhzz0">
            <w:r w:rsidDel="00000000" w:rsidR="00000000" w:rsidRPr="00000000">
              <w:rPr>
                <w:rtl w:val="0"/>
              </w:rPr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 </w:t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تخطيط</w:t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التحقق</w:t>
            </w:r>
          </w:hyperlink>
          <w:hyperlink w:anchor="_heading=h.q8wl9rtbhzz0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4w3wtc937p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</w:hyperlink>
          <w:hyperlink w:anchor="_heading=h.h4w3wtc937p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h4w3wtc937p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</w:hyperlink>
          <w:hyperlink w:anchor="_heading=h.h4w3wtc937p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4vmsugef74t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المنشآت</w:t>
            </w:r>
          </w:hyperlink>
          <w:hyperlink w:anchor="_heading=h.84vmsugef74t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y6f1fdb9b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</w:hyperlink>
          <w:hyperlink w:anchor="_heading=h.2y6f1fdb9b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ta5pjwnp8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التسويق</w:t>
            </w:r>
          </w:hyperlink>
          <w:hyperlink w:anchor="_heading=h.3dta5pjwnp8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dta5pjwnp8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3dta5pjwnp8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dta5pjwnp8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المبيعات</w:t>
            </w:r>
          </w:hyperlink>
          <w:hyperlink w:anchor="_heading=h.3dta5pjwnp8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8axp6mhsp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العلاقات</w:t>
            </w:r>
          </w:hyperlink>
          <w:hyperlink w:anchor="_heading=h.3j8axp6mhsp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j8axp6mhsp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</w:hyperlink>
          <w:hyperlink w:anchor="_heading=h.3j8axp6mhsp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0tv2m4kjgt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الموردون</w:t>
            </w:r>
          </w:hyperlink>
          <w:hyperlink w:anchor="_heading=h.c0tv2m4kjgt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0tv2m4kjgt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c0tv2m4kjgt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0tv2m4kjgt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البائعون</w:t>
            </w:r>
          </w:hyperlink>
          <w:hyperlink w:anchor="_heading=h.c0tv2m4kjgt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المعدات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بتكنولوجيا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</w:hyperlink>
          <w:hyperlink w:anchor="_heading=h.s2zw7xeo7q9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2zubg7jtxc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تكنولوجيا</w:t>
            </w:r>
          </w:hyperlink>
          <w:hyperlink w:anchor="_heading=h.y2zubg7jtxc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y2zubg7jtxc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</w:hyperlink>
          <w:hyperlink w:anchor="_heading=h.y2zubg7jtxc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1hs9qgy2hf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</w:hyperlink>
          <w:hyperlink w:anchor="_heading=h.71hs9qgy2hf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71hs9qgy2hf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</w:hyperlink>
          <w:hyperlink w:anchor="_heading=h.71hs9qgy2hf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n1iu92e4nf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التأمين</w:t>
            </w:r>
          </w:hyperlink>
          <w:hyperlink w:anchor="_heading=h.2n1iu92e4nf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76dpnfmz4v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</w:hyperlink>
          <w:hyperlink w:anchor="_heading=h.a76dpnfmz4v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a76dpnfmz4v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القانونية</w:t>
            </w:r>
          </w:hyperlink>
          <w:hyperlink w:anchor="_heading=h.a76dpnfmz4v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q98lv2be7o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الامتثال</w:t>
            </w:r>
          </w:hyperlink>
          <w:hyperlink w:anchor="_heading=h.wq98lv2be7o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rfgdn5o7mdg">
            <w:r w:rsidDel="00000000" w:rsidR="00000000" w:rsidRPr="00000000">
              <w:rPr>
                <w:rtl w:val="0"/>
              </w:rPr>
            </w:r>
          </w:hyperlink>
          <w:hyperlink w:anchor="_heading=h.9rfgdn5o7mdg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 </w:t>
            </w:r>
          </w:hyperlink>
          <w:hyperlink w:anchor="_heading=h.9rfgdn5o7mdg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مقدمة</w:t>
            </w:r>
          </w:hyperlink>
          <w:hyperlink w:anchor="_heading=h.9rfgdn5o7mdg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f06j5z6wr2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الغرض</w:t>
            </w:r>
          </w:hyperlink>
          <w:hyperlink w:anchor="_heading=h.8f06j5z6wr2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sazjdikkvi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النطاق</w:t>
            </w:r>
          </w:hyperlink>
          <w:hyperlink w:anchor="_heading=h.qsazjdikkvi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o2t339ychq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السياسات</w:t>
            </w:r>
          </w:hyperlink>
          <w:hyperlink w:anchor="_heading=h.jo2t339ychq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o8pptuhrou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تفويض</w:t>
            </w:r>
          </w:hyperlink>
          <w:hyperlink w:anchor="_heading=h.ro8pptuhrou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ro8pptuhrou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الصلاحيات</w:t>
            </w:r>
          </w:hyperlink>
          <w:hyperlink w:anchor="_heading=h.ro8pptuhrou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9o1h5958bbq">
            <w:r w:rsidDel="00000000" w:rsidR="00000000" w:rsidRPr="00000000">
              <w:rPr>
                <w:rtl w:val="0"/>
              </w:rPr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3.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استراتيجيات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بالشركة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استمرار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الأعمال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واستعادتها</w:t>
            </w:r>
          </w:hyperlink>
          <w:hyperlink w:anchor="_heading=h.o9o1h5958bbq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4r5smhdwqhb">
            <w:r w:rsidDel="00000000" w:rsidR="00000000" w:rsidRPr="00000000">
              <w:rPr>
                <w:rtl w:val="0"/>
              </w:rPr>
            </w:r>
          </w:hyperlink>
          <w:hyperlink w:anchor="_heading=h.d4r5smhdwqh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4. </w:t>
            </w:r>
          </w:hyperlink>
          <w:hyperlink w:anchor="_heading=h.d4r5smhdwqh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</w:hyperlink>
          <w:hyperlink w:anchor="_heading=h.d4r5smhdwqh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4r5smhdwqh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</w:hyperlink>
          <w:hyperlink w:anchor="_heading=h.d4r5smhdwqh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الكارثة</w:t>
            </w:r>
          </w:hyperlink>
          <w:hyperlink w:anchor="_heading=h.n5u29t2k4015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1ol7uq4tuj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</w:hyperlink>
          <w:hyperlink w:anchor="_heading=h.f1ol7uq4tuj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1ol7uq4tuj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</w:hyperlink>
          <w:hyperlink w:anchor="_heading=h.f1ol7uq4tujh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26vjlyahqm1">
            <w:r w:rsidDel="00000000" w:rsidR="00000000" w:rsidRPr="00000000">
              <w:rPr>
                <w:rtl w:val="0"/>
              </w:rPr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5. </w:t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وتحديثها</w:t>
            </w:r>
          </w:hyperlink>
          <w:hyperlink w:anchor="_heading=h.e26vjlyahqm1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qpq7ps3zd6c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تخطيط</w:t>
            </w:r>
          </w:hyperlink>
          <w:hyperlink w:anchor="_heading=h.jqpq7ps3zd6c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qpq7ps3zd6c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أعمال</w:t>
            </w:r>
          </w:hyperlink>
          <w:hyperlink w:anchor="_heading=h.jqpq7ps3zd6c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qpq7ps3zd6c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الصيانة</w:t>
            </w:r>
          </w:hyperlink>
          <w:hyperlink w:anchor="_heading=h.jqpq7ps3zd6c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0buntj069x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تخطيط</w:t>
            </w:r>
          </w:hyperlink>
          <w:hyperlink w:anchor="_heading=h.d0buntj069x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0buntj069x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التدريبات</w:t>
            </w:r>
          </w:hyperlink>
          <w:hyperlink w:anchor="_heading=h.d0buntj069x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0buntj069x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والتمارين</w:t>
            </w:r>
          </w:hyperlink>
          <w:hyperlink w:anchor="_heading=h.d0buntj069x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uihcna472y9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الملحقات</w:t>
            </w:r>
          </w:hyperlink>
          <w:hyperlink w:anchor="_heading=h.6uihcna472y9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- 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الموظفين</w:t>
            </w:r>
          </w:hyperlink>
          <w:hyperlink w:anchor="_heading=h.xprd3zsyfqwi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البائعين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والموردين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الرئيسيين</w:t>
            </w:r>
          </w:hyperlink>
          <w:hyperlink w:anchor="_heading=h.cd5kkdsrmt7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المعدات</w:t>
            </w:r>
          </w:hyperlink>
          <w:hyperlink w:anchor="_heading=h.2bll314fkakf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معدات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وتقنيات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تكنولوجيا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</w:hyperlink>
          <w:hyperlink w:anchor="_heading=h.62wv7c4qmxz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c4mpbt3anq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</w:hyperlink>
          <w:hyperlink w:anchor="_heading=h.nc4mpbt3anq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c4mpbt3anq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المعدات</w:t>
            </w:r>
          </w:hyperlink>
          <w:hyperlink w:anchor="_heading=h.nc4mpbt3anq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c4mpbt3anq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والعمليات</w:t>
            </w:r>
          </w:hyperlink>
          <w:hyperlink w:anchor="_heading=h.nc4mpbt3anq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w0f9tbacdq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</w:hyperlink>
          <w:hyperlink w:anchor="_heading=h.mw0f9tbacdq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mw0f9tbacdq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البيانات</w:t>
            </w:r>
          </w:hyperlink>
          <w:hyperlink w:anchor="_heading=h.mw0f9tbacdq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والتأمينية</w:t>
            </w:r>
          </w:hyperlink>
          <w:hyperlink w:anchor="_heading=h.kqyr8ajlu07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hijbfojk7s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جهات</w:t>
            </w:r>
          </w:hyperlink>
          <w:hyperlink w:anchor="_heading=h.jhijbfojk7s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hijbfojk7s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</w:hyperlink>
          <w:hyperlink w:anchor="_heading=h.jhijbfojk7s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hijbfojk7s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</w:hyperlink>
          <w:hyperlink w:anchor="_heading=h.jhijbfojk7sz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ea87gl6bpe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معلومات</w:t>
            </w:r>
          </w:hyperlink>
          <w:hyperlink w:anchor="_heading=h.nea87gl6bpe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ea87gl6bpe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وثائق</w:t>
            </w:r>
          </w:hyperlink>
          <w:hyperlink w:anchor="_heading=h.nea87gl6bpe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nea87gl6bpe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التأمين</w:t>
            </w:r>
          </w:hyperlink>
          <w:hyperlink w:anchor="_heading=h.nea87gl6bpe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0gu80xjnk5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الملحق</w:t>
            </w:r>
          </w:hyperlink>
          <w:hyperlink w:anchor="_heading=h.e0gu80xjnk5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e0gu80xjnk5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e0gu80xjnk5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</w:hyperlink>
          <w:hyperlink w:anchor="_heading=h.e0gu80xjnk5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</w:hyperlink>
          <w:hyperlink w:anchor="_heading=h.e0gu80xjnk5e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موارد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التعافي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الكوارث</w:t>
            </w:r>
          </w:hyperlink>
          <w:hyperlink w:anchor="_heading=h.bz6aq21yiep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مناطق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الأعمال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التجارية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والمنظمات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المجتمعية</w:t>
            </w:r>
          </w:hyperlink>
          <w:hyperlink w:anchor="_heading=h.265xmdcste04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D">
      <w:pPr>
        <w:pStyle w:val="Heading1"/>
        <w:bidi w:val="1"/>
        <w:spacing w:after="200" w:before="200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dq08n7szetkb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bidi w:val="1"/>
        <w:spacing w:after="200" w:before="200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q8wl9rtbhzz0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1.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تخطيط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التحقق</w:t>
      </w:r>
    </w:p>
    <w:p w:rsidR="00000000" w:rsidDel="00000000" w:rsidP="00000000" w:rsidRDefault="00000000" w:rsidRPr="00000000" w14:paraId="0000003F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h4w3wtc937pi" w:id="4"/>
      <w:bookmarkEnd w:id="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البشرية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وسجلها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أ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- 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معرفة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الموظفين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 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الموظفون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التدريب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التأديبية</w:t>
      </w:r>
    </w:p>
    <w:p w:rsidR="00000000" w:rsidDel="00000000" w:rsidP="00000000" w:rsidRDefault="00000000" w:rsidRPr="00000000" w14:paraId="00000044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84vmsugef74t" w:id="5"/>
      <w:bookmarkEnd w:id="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المنشآت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bidi w:val="1"/>
        <w:spacing w:after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إيجار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وسجلات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الصيانة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التكييف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والإضاءة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والسباكة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وتسخين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والمرافق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والاتصالات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وخلافه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النظافة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تنسيق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الحدائق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كلاهما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2y6f1fdb9bh" w:id="6"/>
      <w:bookmarkEnd w:id="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bidi w:val="1"/>
        <w:spacing w:before="20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التشغيلية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القياسية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</w:p>
    <w:p w:rsidR="00000000" w:rsidDel="00000000" w:rsidP="00000000" w:rsidRDefault="00000000" w:rsidRPr="00000000" w14:paraId="0000004B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3dta5pjwnp89" w:id="7"/>
      <w:bookmarkEnd w:id="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التسويق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المبيعات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التسويق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قوائم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إرشادات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</w:p>
    <w:p w:rsidR="00000000" w:rsidDel="00000000" w:rsidP="00000000" w:rsidRDefault="00000000" w:rsidRPr="00000000" w14:paraId="0000004F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3j8axp6mhsph" w:id="8"/>
      <w:bookmarkEnd w:id="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العلاقات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العامة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الإعلامية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والدور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الهاتف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والبريد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الإلكتروني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1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c0tv2m4kjgte" w:id="9"/>
      <w:bookmarkEnd w:id="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الموردون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البائعون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بالموردين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والبائعين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وتفاصيل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يوردونها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ب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تحديد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البائعين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والموردين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الرئيسيين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 </w:t>
      </w:r>
    </w:p>
    <w:p w:rsidR="00000000" w:rsidDel="00000000" w:rsidP="00000000" w:rsidRDefault="00000000" w:rsidRPr="00000000" w14:paraId="00000053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s2zw7xeo7q94" w:id="10"/>
      <w:bookmarkEnd w:id="1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ج</w:t>
        </w:r>
      </w:hyperlink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تحديد</w:t>
        </w:r>
      </w:hyperlink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2bll314fkakf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المعدات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الصيانة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6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y2zubg7jtxc7" w:id="11"/>
      <w:bookmarkEnd w:id="1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د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تحديد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معدات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وتقنيات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تكنولوجيا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62wv7c4qmx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المعلومات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تفاصيل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البرمجيات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ومصادر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فضلا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طريقة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المتخصصة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بالدعم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والمقاولين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تفاصيل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الخدمات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المقدمة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تراخيص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البرمجيات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خدمات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سياسات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71hs9qgy2hf9" w:id="12"/>
      <w:bookmarkEnd w:id="1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المالية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دليل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المحاسبين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مستشاري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الضرائب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وممثلي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البنوك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r:id="rId8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r:id="rId9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هـ</w:t>
        </w:r>
      </w:hyperlink>
      <w:hyperlink r:id="rId1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r:id="rId12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المعلومات</w:t>
        </w:r>
      </w:hyperlink>
      <w:hyperlink r:id="rId13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المالية</w:t>
        </w:r>
      </w:hyperlink>
      <w:hyperlink r:id="rId15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والتأمينية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الإقرارات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الضريبية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الفواتير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كشوفات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الحساب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البنكي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الرواتب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3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2n1iu92e4nfk" w:id="13"/>
      <w:bookmarkEnd w:id="1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أنواع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والملاحظات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هـ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المعلومات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المالية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kqyr8ajlu07s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والتأمينية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 </w:t>
      </w:r>
    </w:p>
    <w:p w:rsidR="00000000" w:rsidDel="00000000" w:rsidP="00000000" w:rsidRDefault="00000000" w:rsidRPr="00000000" w14:paraId="00000065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a76dpnfmz4v2" w:id="14"/>
      <w:bookmarkEnd w:id="1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الشؤون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القانونية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المستشارين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القانونيين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ومكاتب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المحاماة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تراخيص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التأسيس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B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wq98lv2be7og" w:id="15"/>
      <w:bookmarkEnd w:id="1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الامتثال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المهنية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التبليغ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واضحة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وتوزيع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الإنقاذ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والمهام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والتدريب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مراجعة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منتظمة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التصاريح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bidi w:val="1"/>
        <w:spacing w:after="200" w:before="200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9rfgdn5o7mdg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2.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مقدمة</w:t>
      </w:r>
    </w:p>
    <w:p w:rsidR="00000000" w:rsidDel="00000000" w:rsidP="00000000" w:rsidRDefault="00000000" w:rsidRPr="00000000" w14:paraId="00000075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8f06j5z6wr25" w:id="17"/>
      <w:bookmarkEnd w:id="1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الغرض</w:t>
      </w:r>
    </w:p>
    <w:p w:rsidR="00000000" w:rsidDel="00000000" w:rsidP="00000000" w:rsidRDefault="00000000" w:rsidRPr="00000000" w14:paraId="00000076">
      <w:pPr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وبعدها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تشرح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الآثار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المحتملة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تقليل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الآثار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الطبيعي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تفترض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تظل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الصلاحيات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مناسبة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الضرورية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077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qsazjdikkviq" w:id="18"/>
      <w:bookmarkEnd w:id="1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النطاق</w:t>
      </w:r>
    </w:p>
    <w:p w:rsidR="00000000" w:rsidDel="00000000" w:rsidP="00000000" w:rsidRDefault="00000000" w:rsidRPr="00000000" w14:paraId="00000078">
      <w:pPr>
        <w:bidi w:val="1"/>
        <w:spacing w:after="200" w:before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بطريقة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bidi w:val="1"/>
        <w:spacing w:after="100" w:before="100" w:lineRule="auto"/>
        <w:ind w:left="720" w:hanging="360"/>
        <w:rPr/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الاستعداد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والتحضير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الوظائف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والمسؤولين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وتقييم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الكارثة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المحتمل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أهداف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احتياجات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وتحليل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الاعتمادات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المتبادلة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الأقسام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وتقدير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وتجهيز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اللازمة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bidi w:val="1"/>
        <w:spacing w:after="100" w:before="100" w:lineRule="auto"/>
        <w:ind w:left="720" w:hanging="360"/>
        <w:rPr/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bidi w:val="1"/>
        <w:spacing w:after="200" w:before="100" w:lineRule="auto"/>
        <w:ind w:left="720" w:hanging="360"/>
        <w:rPr/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إعادة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التشغيل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والتعافي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تسهيل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كاملة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ومعالجة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آثارها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استقرار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جزء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حزمة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إرشادات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التخطيط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وإرشادات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تدريبية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07D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jo2t339ychqm" w:id="19"/>
      <w:bookmarkEnd w:id="1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السياسات</w:t>
      </w:r>
    </w:p>
    <w:p w:rsidR="00000000" w:rsidDel="00000000" w:rsidP="00000000" w:rsidRDefault="00000000" w:rsidRPr="00000000" w14:paraId="0000007E">
      <w:pPr>
        <w:bidi w:val="1"/>
        <w:spacing w:after="200" w:before="200" w:lineRule="auto"/>
        <w:rPr>
          <w:rFonts w:ascii="Noto Sans Arabic" w:cs="Noto Sans Arabic" w:eastAsia="Noto Sans Arabic" w:hAnsi="Noto Sans Arabic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سياسات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المرتبطة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bidi w:val="1"/>
        <w:spacing w:before="200" w:lineRule="auto"/>
        <w:rPr>
          <w:rFonts w:ascii="Noto Sans Arabic" w:cs="Noto Sans Arabic" w:eastAsia="Noto Sans Arabic" w:hAnsi="Noto Sans Arabic"/>
        </w:rPr>
      </w:pPr>
      <w:bookmarkStart w:colFirst="0" w:colLast="0" w:name="_heading=h.ro8pptuhrou2" w:id="20"/>
      <w:bookmarkEnd w:id="2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تفويض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الصلاحيات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</w:p>
    <w:p w:rsidR="00000000" w:rsidDel="00000000" w:rsidP="00000000" w:rsidRDefault="00000000" w:rsidRPr="00000000" w14:paraId="00000080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تفعيل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المفوض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الصلاحية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ينفذ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ويوج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ويتخذ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القرارات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لصالح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بجانب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الالتزام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بسياسات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ومعاييرها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81">
      <w:pPr>
        <w:pStyle w:val="Heading1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hx1xg3idlq73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o9o1h5958bbq" w:id="22"/>
      <w:bookmarkEnd w:id="22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3.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واستعادتها</w:t>
      </w:r>
    </w:p>
    <w:p w:rsidR="00000000" w:rsidDel="00000000" w:rsidP="00000000" w:rsidRDefault="00000000" w:rsidRPr="00000000" w14:paraId="00000083">
      <w:pPr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توضح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والأكثر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أهمية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تعتمد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الخدمات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المخرجات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تعطيلها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لفترة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طويلة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المخاطرة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بفقدان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الإيرادات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فقدان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واحترام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أصحاب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المصلحة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إغلاق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إبراز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الجوانب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يوض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الحفاظ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التشغيلية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الطبيعي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استناد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ترتيب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أولويتها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spacing w:after="200" w:line="280.7999999999999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الحصول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بخصوص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والموردين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الرجوع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6uihcna472y9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الملحقات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نهاية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الوثيقة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8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التعليمات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أولوية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9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9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9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9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أقصى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مسموح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استئناف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الذي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يؤدي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المدير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المشرف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فريق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إضافي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الموردون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البائعون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يمكنه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يعمل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كبديل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احتياطي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المدير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المشرف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فريق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إضافي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الموردون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البائعون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ْ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كيفية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بصورة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موجزة</w:t>
            </w:r>
          </w:p>
          <w:p w:rsidR="00000000" w:rsidDel="00000000" w:rsidP="00000000" w:rsidRDefault="00000000" w:rsidRPr="00000000" w14:paraId="00000098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تعليمات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بخطوة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التدريب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المطلوب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المطلوب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لأداء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؟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</w:p>
          <w:p w:rsidR="00000000" w:rsidDel="00000000" w:rsidP="00000000" w:rsidRDefault="00000000" w:rsidRPr="00000000" w14:paraId="0000009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السجلات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المرافق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المساحة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الاعتمادات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المتبادلة</w:t>
            </w:r>
          </w:p>
          <w:p w:rsidR="00000000" w:rsidDel="00000000" w:rsidP="00000000" w:rsidRDefault="00000000" w:rsidRPr="00000000" w14:paraId="000000A3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الخارجية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توفر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مدخلات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يستخدم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المخرجات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الناتجة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A5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بجميع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الأفراد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ذات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البديل</w:t>
            </w:r>
          </w:p>
          <w:p w:rsidR="00000000" w:rsidDel="00000000" w:rsidP="00000000" w:rsidRDefault="00000000" w:rsidRPr="00000000" w14:paraId="000000A9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البديل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الالتزامات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3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3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قانونية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3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تعاقدية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تنظيمية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3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الخسائر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الغرامات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توقف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العملية</w:t>
            </w:r>
          </w:p>
          <w:p w:rsidR="00000000" w:rsidDel="00000000" w:rsidP="00000000" w:rsidRDefault="00000000" w:rsidRPr="00000000" w14:paraId="000000B1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المبلغ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قدر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تعذر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المنشآة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استمرار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تمنع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الوصول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المنشأة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قلة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استمرار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استمرار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</w:p>
          <w:p w:rsidR="00000000" w:rsidDel="00000000" w:rsidP="00000000" w:rsidRDefault="00000000" w:rsidRPr="00000000" w14:paraId="000000B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تعذر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دخول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المنشآة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الطبيعي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تمنع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الوصول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المنشأة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قلة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الطبيعي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الطبيعي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</w:p>
          <w:p w:rsidR="00000000" w:rsidDel="00000000" w:rsidP="00000000" w:rsidRDefault="00000000" w:rsidRPr="00000000" w14:paraId="000000C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*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Style w:val="Heading1"/>
        <w:bidi w:val="1"/>
        <w:spacing w:before="120" w:line="240" w:lineRule="auto"/>
        <w:jc w:val="both"/>
        <w:rPr>
          <w:rFonts w:ascii="Noto Sans Arabic" w:cs="Noto Sans Arabic" w:eastAsia="Noto Sans Arabic" w:hAnsi="Noto Sans Arabic"/>
        </w:rPr>
      </w:pPr>
      <w:bookmarkStart w:colFirst="0" w:colLast="0" w:name="_heading=h.swgdb7m35hu8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bidi w:val="1"/>
        <w:spacing w:before="120" w:line="240" w:lineRule="auto"/>
        <w:jc w:val="both"/>
        <w:rPr>
          <w:rFonts w:ascii="Noto Sans Arabic" w:cs="Noto Sans Arabic" w:eastAsia="Noto Sans Arabic" w:hAnsi="Noto Sans Arabic"/>
        </w:rPr>
      </w:pPr>
      <w:bookmarkStart w:colFirst="0" w:colLast="0" w:name="_heading=h.d4r5smhdwqhb" w:id="24"/>
      <w:bookmarkEnd w:id="24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4.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</w:p>
    <w:p w:rsidR="00000000" w:rsidDel="00000000" w:rsidP="00000000" w:rsidRDefault="00000000" w:rsidRPr="00000000" w14:paraId="000000C7">
      <w:pPr>
        <w:bidi w:val="1"/>
        <w:spacing w:after="200" w:line="280.7999999999999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خضض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الأزمات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تبادل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واضحة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ومتسقة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والبائعين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والموردين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الموضحة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C8">
      <w:pPr>
        <w:bidi w:val="1"/>
        <w:spacing w:after="200" w:line="280.7999999999999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يرجى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الرجوع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أ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معرفة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xprd3zsyfqwi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الموظفين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ب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تحديد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البائعين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والموردين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cd5kkdsrmt7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الرئيسيين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الحصول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0C9">
      <w:pPr>
        <w:pStyle w:val="Heading2"/>
        <w:bidi w:val="1"/>
        <w:spacing w:after="200" w:line="280.7999999999999" w:lineRule="auto"/>
        <w:rPr>
          <w:rFonts w:ascii="Noto Sans Arabic" w:cs="Noto Sans Arabic" w:eastAsia="Noto Sans Arabic" w:hAnsi="Noto Sans Arabic"/>
        </w:rPr>
      </w:pPr>
      <w:bookmarkStart w:colFirst="0" w:colLast="0" w:name="_heading=h.n5u29t2k4015" w:id="25"/>
      <w:bookmarkEnd w:id="2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الكارثة</w:t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الموضوع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تحديث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مهم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بخصوص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CB">
            <w:pPr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عزيزي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البائع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CC">
            <w:pPr>
              <w:bidi w:val="1"/>
              <w:spacing w:before="1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نود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نحيطكم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عملياتنا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نحن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نواجه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CD">
            <w:pPr>
              <w:bidi w:val="1"/>
              <w:spacing w:before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نقوم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4"/>
              </w:numPr>
              <w:bidi w:val="1"/>
              <w:spacing w:before="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بالخطوات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المحددة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يجري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اتخاذها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المشكلة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4"/>
              </w:numPr>
              <w:bidi w:val="1"/>
              <w:spacing w:before="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تقديم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تقدير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زمني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المشكلة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أمكن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4"/>
              </w:numPr>
              <w:bidi w:val="1"/>
              <w:spacing w:before="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اذكر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حلول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مؤقتة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بديلة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متاحة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D1">
            <w:pPr>
              <w:bidi w:val="1"/>
              <w:spacing w:before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نطلبه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منكم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bidi w:val="1"/>
              <w:spacing w:before="1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مساعدتنا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بفعالية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يرجى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7"/>
              </w:numPr>
              <w:bidi w:val="1"/>
              <w:spacing w:before="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إعداد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بالإجراءات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المحددة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يجب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المستلمين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اتخاذها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وسائل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بديلة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التحلي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بالصبر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تجاه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التأخيرات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7"/>
              </w:numPr>
              <w:bidi w:val="1"/>
              <w:spacing w:before="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توضيح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مواعيد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نهائية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تحديثات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مهمة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يحتاجون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معرفتها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D5">
            <w:pPr>
              <w:bidi w:val="1"/>
              <w:spacing w:before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أسئلة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استفسارات</w:t>
            </w:r>
          </w:p>
          <w:p w:rsidR="00000000" w:rsidDel="00000000" w:rsidP="00000000" w:rsidRDefault="00000000" w:rsidRPr="00000000" w14:paraId="000000D6">
            <w:pPr>
              <w:bidi w:val="1"/>
              <w:spacing w:before="1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لديكم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أسئلة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يرجى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نقد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تفه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ودعمكم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الفترة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وسنواصل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تزويدكم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بالتحديثات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حسب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الحاجة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7">
            <w:pPr>
              <w:bidi w:val="1"/>
              <w:spacing w:before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وتفضلوا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بوافر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الاحترام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والتقدير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  <w:br w:type="textWrapping"/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  <w:br w:type="textWrapping"/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منصبك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D8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f1ol7uq4tujh" w:id="26"/>
      <w:bookmarkEnd w:id="2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الاحتياج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للاتصال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الأساسية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الاحتياطية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توجيهات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الداخلي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سلاك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تيمز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رسائل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جماعية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نصية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إشعارات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جماعية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دعم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هاتفي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ملاحظات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توجيهات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إضافية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بخصوص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i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الخارجي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العملاء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البائعين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الموردين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الجهات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العملاء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البائعين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الموردين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التنظيمية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bidi w:val="1"/>
        <w:spacing w:before="120" w:line="240" w:lineRule="auto"/>
        <w:jc w:val="both"/>
        <w:rPr>
          <w:rFonts w:ascii="Noto Sans Arabic" w:cs="Noto Sans Arabic" w:eastAsia="Noto Sans Arabic" w:hAnsi="Noto Sans Arabic"/>
        </w:rPr>
      </w:pPr>
      <w:bookmarkStart w:colFirst="0" w:colLast="0" w:name="_heading=h.gdyeygdbkpzy" w:id="27"/>
      <w:bookmarkEnd w:id="2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1"/>
        <w:bidi w:val="1"/>
        <w:spacing w:before="120" w:line="240" w:lineRule="auto"/>
        <w:jc w:val="both"/>
        <w:rPr>
          <w:rFonts w:ascii="Noto Sans Arabic" w:cs="Noto Sans Arabic" w:eastAsia="Noto Sans Arabic" w:hAnsi="Noto Sans Arabic"/>
        </w:rPr>
      </w:pPr>
      <w:bookmarkStart w:colFirst="0" w:colLast="0" w:name="_heading=h.e26vjlyahqm1" w:id="28"/>
      <w:bookmarkEnd w:id="28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5.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اختبار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وتحديثها</w:t>
      </w:r>
    </w:p>
    <w:p w:rsidR="00000000" w:rsidDel="00000000" w:rsidP="00000000" w:rsidRDefault="00000000" w:rsidRPr="00000000" w14:paraId="00000104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jqpq7ps3zd6c" w:id="29"/>
      <w:bookmarkEnd w:id="2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تخطيط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الصيانة</w:t>
      </w:r>
    </w:p>
    <w:p w:rsidR="00000000" w:rsidDel="00000000" w:rsidP="00000000" w:rsidRDefault="00000000" w:rsidRPr="00000000" w14:paraId="00000105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تمرين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كارثة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تغيير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جوهري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تنطوي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المخاطر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والمسؤوليات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ويعتمد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المفوض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التغييرات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المستلمين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التعديلات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tbl>
      <w:tblPr>
        <w:tblStyle w:val="Table4"/>
        <w:bidiVisual w:val="1"/>
        <w:tblW w:w="94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5385"/>
        <w:gridCol w:w="2520"/>
        <w:tblGridChange w:id="0">
          <w:tblGrid>
            <w:gridCol w:w="1545"/>
            <w:gridCol w:w="5385"/>
            <w:gridCol w:w="2520"/>
          </w:tblGrid>
        </w:tblGridChange>
      </w:tblGrid>
      <w:tr>
        <w:trPr>
          <w:cantSplit w:val="0"/>
          <w:trHeight w:val="430.9785156249972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التاريخ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وصف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التغييرات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الاعتماد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d0buntj069xz" w:id="30"/>
      <w:bookmarkEnd w:id="3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تخطيط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التدريبات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والتمارين</w:t>
      </w:r>
    </w:p>
    <w:p w:rsidR="00000000" w:rsidDel="00000000" w:rsidP="00000000" w:rsidRDefault="00000000" w:rsidRPr="00000000" w14:paraId="00000113">
      <w:pPr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ينفذ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التدريب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بالمسؤوليات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المبينة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وفهمهم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لأدوارهم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ويجري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التدريب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14">
      <w:pPr>
        <w:numPr>
          <w:ilvl w:val="0"/>
          <w:numId w:val="8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تغييرات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15">
      <w:pPr>
        <w:numPr>
          <w:ilvl w:val="0"/>
          <w:numId w:val="8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مسؤوليات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16">
      <w:pPr>
        <w:numPr>
          <w:ilvl w:val="0"/>
          <w:numId w:val="8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كتدريب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تنشيطي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17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ينفذ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التمارين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السيناريو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متكررة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أمثلة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التمارين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مجموعة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".</w:t>
      </w:r>
    </w:p>
    <w:p w:rsidR="00000000" w:rsidDel="00000000" w:rsidP="00000000" w:rsidRDefault="00000000" w:rsidRPr="00000000" w14:paraId="00000118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التدريبات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والتمارين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السجلات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المخصص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ويتحم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مسؤولية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تحسين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معالجة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الفجوات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وتحديث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استنادا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نتائج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التمارين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bidi w:val="1"/>
        <w:spacing w:before="120" w:line="240" w:lineRule="auto"/>
        <w:jc w:val="both"/>
        <w:rPr>
          <w:rFonts w:ascii="Noto Sans Arabic" w:cs="Noto Sans Arabic" w:eastAsia="Noto Sans Arabic" w:hAnsi="Noto Sans Arabic"/>
        </w:rPr>
      </w:pPr>
      <w:bookmarkStart w:colFirst="0" w:colLast="0" w:name="_heading=h.6uihcna472y9" w:id="31"/>
      <w:bookmarkEnd w:id="3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الملحقات</w:t>
      </w:r>
    </w:p>
    <w:p w:rsidR="00000000" w:rsidDel="00000000" w:rsidP="00000000" w:rsidRDefault="00000000" w:rsidRPr="00000000" w14:paraId="0000011A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xprd3zsyfqwi" w:id="32"/>
      <w:bookmarkEnd w:id="3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-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البند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المسمى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الوظيفي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المسمى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الوظيفي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يتحمل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مسؤوليتها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يتحمل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مسؤوليتها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الخاصة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تسهيلات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خاصة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يطلبها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التراخيص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أدرج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جميع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التراخيص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عليها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ملاحظات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موظف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30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atzjqi5ykhtx" w:id="33"/>
      <w:bookmarkEnd w:id="3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cd5kkdsrmt70" w:id="34"/>
      <w:bookmarkEnd w:id="3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–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البائعين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والموردين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الرئيسيين</w:t>
      </w:r>
    </w:p>
    <w:tbl>
      <w:tblPr>
        <w:tblStyle w:val="Table6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البند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أصحاب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المصلحة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12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بائع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حالي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12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بائع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احتياطي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وجد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الحساب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حساب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نشط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يتحمل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البائع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مسؤوليتها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تمك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ذكر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الخدمات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المقدمة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عنوان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الشارع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العنوان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المدينة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والرمز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المدينة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والرمز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الأساسية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المسمى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الوظيفي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المسمى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الوظيفي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البديلة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المسمى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الوظيفي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البديلة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المسمى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الوظيفي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</w:tbl>
    <w:p w:rsidR="00000000" w:rsidDel="00000000" w:rsidP="00000000" w:rsidRDefault="00000000" w:rsidRPr="00000000" w14:paraId="00000155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56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dfkjkvayes5d" w:id="35"/>
      <w:bookmarkEnd w:id="3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2bll314fkakf" w:id="36"/>
      <w:bookmarkEnd w:id="3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–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</w:p>
    <w:tbl>
      <w:tblPr>
        <w:tblStyle w:val="Table7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البند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المشغل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المسؤول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أساسا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تشغيلها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الطراز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طراز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شراء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التكلفة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الصيانة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تكلفة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الاستبدال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تخزين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الحالي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توافر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احتياطية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بديلة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احتياطية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بديلة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ومكانها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تؤديها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الضمان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ضمان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إرشادات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التشغيل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تعليمات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إرشادات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تشغيل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المصنعة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</w:tbl>
    <w:p w:rsidR="00000000" w:rsidDel="00000000" w:rsidP="00000000" w:rsidRDefault="00000000" w:rsidRPr="00000000" w14:paraId="00000178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79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uals5gyei36j" w:id="37"/>
      <w:bookmarkEnd w:id="3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62wv7c4qmxz0" w:id="38"/>
      <w:bookmarkEnd w:id="3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–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وتقنيات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</w:p>
    <w:p w:rsidR="00000000" w:rsidDel="00000000" w:rsidP="00000000" w:rsidRDefault="00000000" w:rsidRPr="00000000" w14:paraId="0000017B">
      <w:pPr>
        <w:pStyle w:val="Heading3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nc4mpbt3anq1" w:id="39"/>
      <w:bookmarkEnd w:id="3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</w:p>
    <w:tbl>
      <w:tblPr>
        <w:tblStyle w:val="Table8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البند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التعليمات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حاسوب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محمول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خادم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جدار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ناري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الغرض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الغرض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التجهيز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الأداة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تخزين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الحماية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تؤديها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المشغل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المسؤول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أساسا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تشغيلها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الطراز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طراز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شراء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الفعلي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الافتراضي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توافر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احتياطية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بديلة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وض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أجهزة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سحابية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بديلة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المستهدف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أقصى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توقف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مسموح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جدول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الصيانة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فترات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الصيانة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الدورية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مهامها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إعدادات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التهيئة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تفاصيل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التهيئة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روابط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التوثيق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التكلفة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الصيانة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تكلفة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الاستبدال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التطويرات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خلافه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الضمان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ضمان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النسخ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الاحتياطي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للبيانات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اشرح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النسخ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الاحتياطي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يشمل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التكرار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ومكان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التخزين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الاعتمادات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البرمجية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برامج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تطبيقات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لازمة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المصنعة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جهة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</w:tbl>
    <w:p w:rsidR="00000000" w:rsidDel="00000000" w:rsidP="00000000" w:rsidRDefault="00000000" w:rsidRPr="00000000" w14:paraId="000001A6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A7">
      <w:pPr>
        <w:pStyle w:val="Heading3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mw0f9tbacdqn" w:id="40"/>
      <w:bookmarkEnd w:id="4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</w:p>
    <w:p w:rsidR="00000000" w:rsidDel="00000000" w:rsidP="00000000" w:rsidRDefault="00000000" w:rsidRPr="00000000" w14:paraId="000001A8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بمواقع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التخزين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والنسخ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الاحتياطي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للبيانات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قائمة</w:t>
        </w:r>
      </w:hyperlink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التحقق</w:t>
        </w:r>
      </w:hyperlink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من</w:t>
        </w:r>
      </w:hyperlink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q8wl9rtbhzz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التخطيط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١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الاطلاع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أنواع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tbl>
      <w:tblPr>
        <w:tblStyle w:val="Table9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hd w:fill="d9d9d9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نوع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المستندات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hd w:fill="d9d9d9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التخزين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المنصة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hd w:fill="d9d9d9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النسخ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الاحتياطي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hd w:fill="d9d9d9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تفاصيل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d9d9d9" w:val="clear"/>
                <w:rtl w:val="1"/>
              </w:rPr>
              <w:t xml:space="preserve">الاعتماد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البشرية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حيث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خزن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الثانوي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الاحتياطي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حيث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خزن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َ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يمكنه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الوصول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يمكن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العثور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الاعتماد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المنشآت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التسويق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المبيعات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العامة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الموردون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والبائعون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غير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المالية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التأمين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قانونية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الامتثال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1d9rhau2tqgm" w:id="41"/>
      <w:bookmarkEnd w:id="4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2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kqyr8ajlu07s" w:id="42"/>
      <w:bookmarkEnd w:id="4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هـ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–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والتأمينية</w:t>
      </w:r>
    </w:p>
    <w:p w:rsidR="00000000" w:rsidDel="00000000" w:rsidP="00000000" w:rsidRDefault="00000000" w:rsidRPr="00000000" w14:paraId="000001DF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jhijbfojk7sz" w:id="43"/>
      <w:bookmarkEnd w:id="4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المالية</w:t>
      </w:r>
    </w:p>
    <w:p w:rsidR="00000000" w:rsidDel="00000000" w:rsidP="00000000" w:rsidRDefault="00000000" w:rsidRPr="00000000" w14:paraId="000001E0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بالخبراء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المتخصصين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يرشدوك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الحصول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دعم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tbl>
      <w:tblPr>
        <w:tblStyle w:val="Table10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الاسم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مجال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الخبرة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nea87gl6bpes" w:id="44"/>
      <w:bookmarkEnd w:id="4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</w:p>
    <w:p w:rsidR="00000000" w:rsidDel="00000000" w:rsidP="00000000" w:rsidRDefault="00000000" w:rsidRPr="00000000" w14:paraId="000001EE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كدليل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السياسات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تبسيط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المطالبات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والالتزام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بفعالية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كارثة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مراعاة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1EF">
      <w:pPr>
        <w:numPr>
          <w:ilvl w:val="0"/>
          <w:numId w:val="1"/>
        </w:numPr>
        <w:bidi w:val="1"/>
        <w:spacing w:after="0" w:lineRule="auto"/>
        <w:ind w:left="720" w:hanging="360"/>
        <w:rPr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أنواع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التغطية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1"/>
          <w:numId w:val="1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تغطيته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والفروق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خيارات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المختلفة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0"/>
          <w:numId w:val="1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حدود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الوثيقة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1F2">
      <w:pPr>
        <w:numPr>
          <w:ilvl w:val="1"/>
          <w:numId w:val="1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تحقق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بانتظام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تغييراتها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إلغائها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استثناءات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numPr>
          <w:ilvl w:val="0"/>
          <w:numId w:val="1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إضافات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التغطية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1F4">
      <w:pPr>
        <w:numPr>
          <w:ilvl w:val="1"/>
          <w:numId w:val="1"/>
        </w:numPr>
        <w:bidi w:val="1"/>
        <w:spacing w:after="200"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المخاطر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لتغطية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الزلازل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الوثيقة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نوعها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مزو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التأمين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9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الوثيقة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B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سريان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الوثيقة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وكيل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التأمين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F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1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3">
            <w:pPr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05">
      <w:pPr>
        <w:pStyle w:val="Heading2"/>
        <w:keepNext w:val="0"/>
        <w:keepLines w:val="0"/>
        <w:widowControl w:val="0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cy4toms0lphh" w:id="45"/>
      <w:bookmarkEnd w:id="4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Style w:val="Heading2"/>
        <w:keepNext w:val="0"/>
        <w:keepLines w:val="0"/>
        <w:widowControl w:val="0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e0gu80xjnk5e" w:id="46"/>
      <w:bookmarkEnd w:id="4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–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</w:p>
    <w:p w:rsidR="00000000" w:rsidDel="00000000" w:rsidP="00000000" w:rsidRDefault="00000000" w:rsidRPr="00000000" w14:paraId="00000207">
      <w:pPr>
        <w:pStyle w:val="Heading3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bz6aq21yiepk" w:id="47"/>
      <w:bookmarkEnd w:id="4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</w:p>
    <w:p w:rsidR="00000000" w:rsidDel="00000000" w:rsidP="00000000" w:rsidRDefault="00000000" w:rsidRPr="00000000" w14:paraId="00000208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اللجوء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دعم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tbl>
      <w:tblPr>
        <w:tblStyle w:val="Table1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التعافي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الكوارث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مزيد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برنامج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التأمين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الوطني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ضد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الفيضانات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1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ورقة</w:t>
              </w:r>
            </w:hyperlink>
            <w:hyperlink r:id="rId18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بوسطن</w:t>
              </w:r>
            </w:hyperlink>
            <w:hyperlink r:id="rId20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المعلوماتية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22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</w:t>
              </w:r>
            </w:hyperlink>
            <w:hyperlink r:id="rId23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ُ</w:t>
              </w:r>
            </w:hyperlink>
            <w:hyperlink r:id="rId24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ر</w:t>
              </w:r>
            </w:hyperlink>
            <w:hyperlink r:id="rId25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برنامج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الفردية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وكالة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الفيدرالية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2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ورقة</w:t>
              </w:r>
            </w:hyperlink>
            <w:hyperlink r:id="rId28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29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بوسطن</w:t>
              </w:r>
            </w:hyperlink>
            <w:hyperlink r:id="rId30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المعلوماتية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32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</w:t>
              </w:r>
            </w:hyperlink>
            <w:hyperlink r:id="rId33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ُ</w:t>
              </w:r>
            </w:hyperlink>
            <w:hyperlink r:id="rId34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ر</w:t>
              </w:r>
            </w:hyperlink>
            <w:hyperlink r:id="rId35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قرض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الكوارث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الصغيرة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الأمريكية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3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ورقة</w:t>
              </w:r>
            </w:hyperlink>
            <w:hyperlink r:id="rId38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بوسطن</w:t>
              </w:r>
            </w:hyperlink>
            <w:hyperlink r:id="rId40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المعلوماتية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42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</w:t>
              </w:r>
            </w:hyperlink>
            <w:hyperlink r:id="rId43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ُ</w:t>
              </w:r>
            </w:hyperlink>
            <w:hyperlink r:id="rId44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ر</w:t>
              </w:r>
            </w:hyperlink>
            <w:hyperlink r:id="rId45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46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معهد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التأمين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لسلامة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والمنازل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-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برنامج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السهل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4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</w:t>
              </w:r>
            </w:hyperlink>
            <w:hyperlink r:id="rId48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ُ</w:t>
              </w:r>
            </w:hyperlink>
            <w:hyperlink r:id="rId49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ر</w:t>
              </w:r>
            </w:hyperlink>
            <w:hyperlink r:id="rId50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51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الصليب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الأحمر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الأمريكي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52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</w:t>
              </w:r>
            </w:hyperlink>
            <w:hyperlink r:id="rId53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ُ</w:t>
              </w:r>
            </w:hyperlink>
            <w:hyperlink r:id="rId54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ر</w:t>
              </w:r>
            </w:hyperlink>
            <w:hyperlink r:id="rId55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56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المساعدات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للكوارث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5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</w:t>
              </w:r>
            </w:hyperlink>
            <w:hyperlink r:id="rId58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ُ</w:t>
              </w:r>
            </w:hyperlink>
            <w:hyperlink r:id="rId59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ر</w:t>
              </w:r>
            </w:hyperlink>
            <w:hyperlink r:id="rId60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61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ريدي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الحكومي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التجارية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62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زيارة</w:t>
              </w:r>
            </w:hyperlink>
            <w:hyperlink r:id="rId63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64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المركز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الوطني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التابع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للوكالة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الفيدرالية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65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زيارة</w:t>
              </w:r>
            </w:hyperlink>
            <w:hyperlink r:id="rId66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6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أوبريشن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لتوفير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الاقتصادية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hyperlink r:id="rId68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زيارة</w:t>
              </w:r>
            </w:hyperlink>
            <w:hyperlink r:id="rId69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0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u w:val="single"/>
                  <w:rtl w:val="1"/>
                </w:rPr>
                <w:t xml:space="preserve">الموقع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pStyle w:val="Heading3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265xmdcste04" w:id="48"/>
      <w:bookmarkEnd w:id="4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والمنظمات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المجتمعية</w:t>
      </w:r>
    </w:p>
    <w:tbl>
      <w:tblPr>
        <w:tblStyle w:val="Table1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920"/>
        <w:gridCol w:w="2445"/>
        <w:gridCol w:w="3300"/>
        <w:tblGridChange w:id="0">
          <w:tblGrid>
            <w:gridCol w:w="1695"/>
            <w:gridCol w:w="1920"/>
            <w:gridCol w:w="2445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المنظمة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الموقع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الاتصال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تحسين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الأعمال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داون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تاون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ألاينس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101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آرتش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160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2139-482 (617)</w:t>
            </w:r>
          </w:p>
          <w:p w:rsidR="00000000" w:rsidDel="00000000" w:rsidP="00000000" w:rsidRDefault="00000000" w:rsidRPr="00000000" w14:paraId="0000022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hyperlink r:id="rId71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sz w:val="21"/>
                  <w:szCs w:val="21"/>
                  <w:u w:val="single"/>
                  <w:rtl w:val="0"/>
                </w:rPr>
                <w:t xml:space="preserve">info@bostonbid.org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hyperlink r:id="rId72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sz w:val="21"/>
                  <w:szCs w:val="21"/>
                  <w:u w:val="single"/>
                  <w:rtl w:val="1"/>
                </w:rPr>
                <w:t xml:space="preserve">الموقع</w:t>
              </w:r>
            </w:hyperlink>
            <w:hyperlink r:id="rId73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sz w:val="21"/>
                  <w:szCs w:val="21"/>
                  <w:u w:val="single"/>
                  <w:rtl w:val="1"/>
                </w:rPr>
                <w:t xml:space="preserve"> </w:t>
              </w:r>
            </w:hyperlink>
            <w:hyperlink r:id="rId74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sz w:val="21"/>
                  <w:szCs w:val="21"/>
                  <w:u w:val="single"/>
                  <w:rtl w:val="1"/>
                </w:rPr>
                <w:t xml:space="preserve">الإلكتروني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تحسين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"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غرينواي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"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بيكون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2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402،</w:t>
            </w:r>
          </w:p>
          <w:p w:rsidR="00000000" w:rsidDel="00000000" w:rsidP="00000000" w:rsidRDefault="00000000" w:rsidRPr="00000000" w14:paraId="0000022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6240-502 (617)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أليستون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فيليج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161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هارفارد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11،</w:t>
            </w:r>
          </w:p>
          <w:p w:rsidR="00000000" w:rsidDel="00000000" w:rsidP="00000000" w:rsidRDefault="00000000" w:rsidRPr="00000000" w14:paraId="0000023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أليستون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أليكس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كورناتشيني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7564-254 (617)</w:t>
            </w:r>
          </w:p>
          <w:p w:rsidR="00000000" w:rsidDel="00000000" w:rsidP="00000000" w:rsidRDefault="00000000" w:rsidRPr="00000000" w14:paraId="0000023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hyperlink r:id="rId75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sz w:val="21"/>
                  <w:szCs w:val="21"/>
                  <w:u w:val="single"/>
                  <w:rtl w:val="0"/>
                </w:rPr>
                <w:t xml:space="preserve">alex@allstonvillage.com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بودوين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جنيف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200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بودوين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02122</w:t>
            </w:r>
          </w:p>
          <w:p w:rsidR="00000000" w:rsidDel="00000000" w:rsidP="00000000" w:rsidRDefault="00000000" w:rsidRPr="00000000" w14:paraId="0000023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هاريس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هاردواي</w:t>
            </w:r>
          </w:p>
          <w:p w:rsidR="00000000" w:rsidDel="00000000" w:rsidP="00000000" w:rsidRDefault="00000000" w:rsidRPr="00000000" w14:paraId="0000023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9980-436-(617)</w:t>
            </w:r>
          </w:p>
          <w:p w:rsidR="00000000" w:rsidDel="00000000" w:rsidP="00000000" w:rsidRDefault="00000000" w:rsidRPr="00000000" w14:paraId="0000024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harishardaway@yahoo.com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برايتون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358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واشنطن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4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برايتون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9200-779 (617)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hyperlink r:id="rId76">
              <w:r w:rsidDel="00000000" w:rsidR="00000000" w:rsidRPr="00000000">
                <w:rPr>
                  <w:rFonts w:ascii="Noto Sans Arabic" w:cs="Noto Sans Arabic" w:eastAsia="Noto Sans Arabic" w:hAnsi="Noto Sans Arabic"/>
                  <w:b w:val="1"/>
                  <w:sz w:val="21"/>
                  <w:szCs w:val="21"/>
                  <w:rtl w:val="0"/>
                </w:rPr>
                <w:t xml:space="preserve"> </w:t>
              </w:r>
            </w:hyperlink>
            <w:hyperlink r:id="rId77">
              <w:r w:rsidDel="00000000" w:rsidR="00000000" w:rsidRPr="00000000">
                <w:rPr>
                  <w:rFonts w:ascii="Noto Sans Arabic" w:cs="Noto Sans Arabic" w:eastAsia="Noto Sans Arabic" w:hAnsi="Noto Sans Arabic"/>
                  <w:color w:val="1155cc"/>
                  <w:sz w:val="21"/>
                  <w:szCs w:val="21"/>
                  <w:u w:val="single"/>
                  <w:rtl w:val="0"/>
                </w:rPr>
                <w:t xml:space="preserve">Director@brightonmainstreets.org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تشاينا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تاون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بويلستون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07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4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ديبي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هو</w:t>
            </w:r>
          </w:p>
          <w:p w:rsidR="00000000" w:rsidDel="00000000" w:rsidP="00000000" w:rsidRDefault="00000000" w:rsidRPr="00000000" w14:paraId="0000024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6303-350-(617)</w:t>
            </w:r>
          </w:p>
          <w:p w:rsidR="00000000" w:rsidDel="00000000" w:rsidP="00000000" w:rsidRDefault="00000000" w:rsidRPr="00000000" w14:paraId="0000024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Bostoncmsed@gmail.com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روكسبري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2343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واشنطن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روكسبري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روبرت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جورج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4644-541 (617)</w:t>
            </w:r>
          </w:p>
          <w:p w:rsidR="00000000" w:rsidDel="00000000" w:rsidP="00000000" w:rsidRDefault="00000000" w:rsidRPr="00000000" w14:paraId="0000025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robertmgeorge268@gmail.com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إيست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جيت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واي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145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مافريك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إيست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02128</w:t>
            </w:r>
          </w:p>
          <w:p w:rsidR="00000000" w:rsidDel="00000000" w:rsidP="00000000" w:rsidRDefault="00000000" w:rsidRPr="00000000" w14:paraId="0000025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584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56213-974-(617)</w:t>
            </w:r>
          </w:p>
          <w:p w:rsidR="00000000" w:rsidDel="00000000" w:rsidP="00000000" w:rsidRDefault="00000000" w:rsidRPr="00000000" w14:paraId="0000025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miguel@eastbostonmainstreets.org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إغليستون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سكوير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3134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واشنطن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روكسبري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دينسي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ديلجادو</w:t>
            </w:r>
          </w:p>
          <w:p w:rsidR="00000000" w:rsidDel="00000000" w:rsidP="00000000" w:rsidRDefault="00000000" w:rsidRPr="00000000" w14:paraId="0000025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2270-637 (617)</w:t>
            </w:r>
          </w:p>
          <w:p w:rsidR="00000000" w:rsidDel="00000000" w:rsidP="00000000" w:rsidRDefault="00000000" w:rsidRPr="00000000" w14:paraId="0000026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denise@eglestonsquare.org</w:t>
            </w:r>
          </w:p>
          <w:p w:rsidR="00000000" w:rsidDel="00000000" w:rsidP="00000000" w:rsidRDefault="00000000" w:rsidRPr="00000000" w14:paraId="0000026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فيلدز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كورنر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1444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6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الطابق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الثاني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6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جاي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ويست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ديفين</w:t>
            </w:r>
          </w:p>
          <w:p w:rsidR="00000000" w:rsidDel="00000000" w:rsidP="00000000" w:rsidRDefault="00000000" w:rsidRPr="00000000" w14:paraId="0000026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1432-474 (617)</w:t>
            </w:r>
          </w:p>
          <w:p w:rsidR="00000000" w:rsidDel="00000000" w:rsidP="00000000" w:rsidRDefault="00000000" w:rsidRPr="00000000" w14:paraId="0000026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director@fieldscorner.org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غريتر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آشماونت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1914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6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إيلي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ماروني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3846-825 (617)</w:t>
            </w:r>
          </w:p>
          <w:p w:rsidR="00000000" w:rsidDel="00000000" w:rsidP="00000000" w:rsidRDefault="00000000" w:rsidRPr="00000000" w14:paraId="0000027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exec@greaterashmont.org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غريتر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جروف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320-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بلو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7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إيد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جاسكين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2326-460 (617)</w:t>
            </w:r>
          </w:p>
          <w:p w:rsidR="00000000" w:rsidDel="00000000" w:rsidP="00000000" w:rsidRDefault="00000000" w:rsidRPr="00000000" w14:paraId="0000027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ewgaskin@gmail.com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هايد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بارك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11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فيرمونت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10،</w:t>
            </w:r>
          </w:p>
          <w:p w:rsidR="00000000" w:rsidDel="00000000" w:rsidP="00000000" w:rsidRDefault="00000000" w:rsidRPr="00000000" w14:paraId="0000027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هايد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بارك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ثين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سيمبسون</w:t>
            </w:r>
          </w:p>
          <w:p w:rsidR="00000000" w:rsidDel="00000000" w:rsidP="00000000" w:rsidRDefault="00000000" w:rsidRPr="00000000" w14:paraId="0000027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6964-361 (617)</w:t>
            </w:r>
          </w:p>
          <w:p w:rsidR="00000000" w:rsidDel="00000000" w:rsidP="00000000" w:rsidRDefault="00000000" w:rsidRPr="00000000" w14:paraId="0000027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tsimpson@hydeparkmainstreets.com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منتصف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وجنوب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جامايكا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بلين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670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المركزي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8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7،</w:t>
            </w:r>
          </w:p>
          <w:p w:rsidR="00000000" w:rsidDel="00000000" w:rsidP="00000000" w:rsidRDefault="00000000" w:rsidRPr="00000000" w14:paraId="0000028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جامايكا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بلين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02130</w:t>
            </w:r>
          </w:p>
          <w:p w:rsidR="00000000" w:rsidDel="00000000" w:rsidP="00000000" w:rsidRDefault="00000000" w:rsidRPr="00000000" w14:paraId="0000028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302712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جامايكا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بلين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جرنجر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براون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2439-942 (617)</w:t>
            </w:r>
          </w:p>
          <w:p w:rsidR="00000000" w:rsidDel="00000000" w:rsidP="00000000" w:rsidRDefault="00000000" w:rsidRPr="00000000" w14:paraId="0000028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director@jpcentresouth.com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ماتب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سكوير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524-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A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ريفر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8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800،</w:t>
            </w:r>
          </w:p>
          <w:p w:rsidR="00000000" w:rsidDel="00000000" w:rsidP="00000000" w:rsidRDefault="00000000" w:rsidRPr="00000000" w14:paraId="0000028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ماتب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بنجامين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ايتشيفيريا</w:t>
            </w:r>
          </w:p>
          <w:p w:rsidR="00000000" w:rsidDel="00000000" w:rsidP="00000000" w:rsidRDefault="00000000" w:rsidRPr="00000000" w14:paraId="0000029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 3061-322 (617)</w:t>
            </w:r>
          </w:p>
          <w:p w:rsidR="00000000" w:rsidDel="00000000" w:rsidP="00000000" w:rsidRDefault="00000000" w:rsidRPr="00000000" w14:paraId="0000029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ben@mattapansqmainstreets.org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ميشن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1542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تريمونت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9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كورتني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رايت</w:t>
            </w:r>
          </w:p>
          <w:p w:rsidR="00000000" w:rsidDel="00000000" w:rsidP="00000000" w:rsidRDefault="00000000" w:rsidRPr="00000000" w14:paraId="0000029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0182-232 (617)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روسلينديل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فيلج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4236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أ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واشنطن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9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روسلينديل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آنا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فانريمورتيل</w:t>
            </w:r>
          </w:p>
          <w:p w:rsidR="00000000" w:rsidDel="00000000" w:rsidP="00000000" w:rsidRDefault="00000000" w:rsidRPr="00000000" w14:paraId="0000029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4065-327 (617)</w:t>
            </w:r>
          </w:p>
          <w:p w:rsidR="00000000" w:rsidDel="00000000" w:rsidP="00000000" w:rsidRDefault="00000000" w:rsidRPr="00000000" w14:paraId="0000029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director@roslindale.net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ثري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سكويرز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329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المركزي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A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جامايكا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بلين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وارين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وليامز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3694-522 (617)</w:t>
            </w:r>
          </w:p>
          <w:p w:rsidR="00000000" w:rsidDel="00000000" w:rsidP="00000000" w:rsidRDefault="00000000" w:rsidRPr="00000000" w14:paraId="000002A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warren@threesquaresmainstreet.org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شوارع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أوفهامز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كورنر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545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كولومبيا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A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02125</w:t>
            </w:r>
          </w:p>
          <w:p w:rsidR="00000000" w:rsidDel="00000000" w:rsidP="00000000" w:rsidRDefault="00000000" w:rsidRPr="00000000" w14:paraId="000002A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255917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دورشيستر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فال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دالي</w:t>
            </w:r>
          </w:p>
          <w:p w:rsidR="00000000" w:rsidDel="00000000" w:rsidP="00000000" w:rsidRDefault="00000000" w:rsidRPr="00000000" w14:paraId="000002A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 0363-265 (617)</w:t>
            </w:r>
          </w:p>
          <w:p w:rsidR="00000000" w:rsidDel="00000000" w:rsidP="00000000" w:rsidRDefault="00000000" w:rsidRPr="00000000" w14:paraId="000002B0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director@uphamscorner.org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واشنطن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جيتواي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450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هاريسون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B4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بوسطن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مايكل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سانشيز</w:t>
            </w:r>
          </w:p>
          <w:p w:rsidR="00000000" w:rsidDel="00000000" w:rsidP="00000000" w:rsidRDefault="00000000" w:rsidRPr="00000000" w14:paraId="000002B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1234-542 (617)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ويست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روكسبري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ستريتس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شارع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1842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المركزي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2BA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جناح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206،</w:t>
            </w:r>
          </w:p>
          <w:p w:rsidR="00000000" w:rsidDel="00000000" w:rsidP="00000000" w:rsidRDefault="00000000" w:rsidRPr="00000000" w14:paraId="000002BB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غرب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روكسبري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ماساتشوستس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1"/>
              </w:rPr>
              <w:t xml:space="preserve"> 02132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جايكوب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روبينسون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الهاتف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 6400-325 (617)</w:t>
            </w:r>
          </w:p>
          <w:p w:rsidR="00000000" w:rsidDel="00000000" w:rsidP="00000000" w:rsidRDefault="00000000" w:rsidRPr="00000000" w14:paraId="000002BE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z w:val="21"/>
                <w:szCs w:val="2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1"/>
                <w:szCs w:val="2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1"/>
                <w:szCs w:val="21"/>
                <w:rtl w:val="0"/>
              </w:rPr>
              <w:t xml:space="preserve"> director@wrms.org</w:t>
            </w:r>
          </w:p>
        </w:tc>
      </w:tr>
    </w:tbl>
    <w:p w:rsidR="00000000" w:rsidDel="00000000" w:rsidP="00000000" w:rsidRDefault="00000000" w:rsidRPr="00000000" w14:paraId="000002BF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sectPr>
      <w:headerReference r:id="rId78" w:type="default"/>
      <w:headerReference r:id="rId79" w:type="first"/>
      <w:footerReference r:id="rId80" w:type="default"/>
      <w:footerReference r:id="rId81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Arabi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5">
    <w:pPr>
      <w:bidi w:val="1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0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14"/>
      <w:bidiVisual w:val="1"/>
      <w:tblW w:w="10785.0" w:type="dxa"/>
      <w:jc w:val="left"/>
      <w:tblInd w:w="-699.9999999999999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290"/>
      <w:gridCol w:w="3495"/>
      <w:tblGridChange w:id="0">
        <w:tblGrid>
          <w:gridCol w:w="7290"/>
          <w:gridCol w:w="34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C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left"/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</w:rPr>
          </w:pPr>
          <w:r w:rsidDel="00000000" w:rsidR="00000000" w:rsidRPr="00000000"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  <w:rtl w:val="1"/>
            </w:rPr>
            <w:t xml:space="preserve">اسم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  <w:rtl w:val="1"/>
            </w:rPr>
            <w:t xml:space="preserve">الشركة</w:t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C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-20" w:firstLine="0"/>
            <w:jc w:val="right"/>
            <w:rPr>
              <w:rFonts w:ascii="Noto Sans Arabic" w:cs="Noto Sans Arabic" w:eastAsia="Noto Sans Arabic" w:hAnsi="Noto Sans Arabic"/>
              <w:sz w:val="24"/>
              <w:szCs w:val="24"/>
            </w:rPr>
          </w:pP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خطة</w:t>
          </w: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استمرارية</w:t>
          </w: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الأعمال</w:t>
          </w: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b w:val="1"/>
              <w:sz w:val="24"/>
              <w:szCs w:val="24"/>
              <w:rtl w:val="1"/>
            </w:rPr>
            <w:t xml:space="preserve">التجارية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C3">
    <w:pPr>
      <w:rPr>
        <w:sz w:val="34"/>
        <w:szCs w:val="3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before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600" w:line="240" w:lineRule="auto"/>
      <w:ind w:right="720"/>
    </w:pPr>
    <w:rPr>
      <w:rFonts w:ascii="Arial" w:cs="Arial" w:eastAsia="Arial" w:hAnsi="Arial"/>
      <w:b w:val="1"/>
      <w:smallCaps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400" w:line="280.7999999999999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00" w:line="280" w:lineRule="auto"/>
    </w:pPr>
    <w:rPr>
      <w:rFonts w:ascii="Arial" w:cs="Arial" w:eastAsia="Arial" w:hAnsi="Arial"/>
      <w:b w:val="1"/>
      <w:smallCaps w:val="1"/>
      <w:color w:val="f0503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jc w:val="center"/>
    </w:pPr>
    <w:rPr>
      <w:rFonts w:ascii="Times New Roman" w:cs="Times New Roman" w:eastAsia="Times New Roman" w:hAnsi="Times New Roman"/>
      <w:b w:val="1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drive/folders/1_SsFQmUwFM2mbFoqrcSWogmmDS3r5DZb" TargetMode="External"/><Relationship Id="rId42" Type="http://schemas.openxmlformats.org/officeDocument/2006/relationships/hyperlink" Target="https://www.sba.gov/funding-programs/disaster-assistance" TargetMode="External"/><Relationship Id="rId41" Type="http://schemas.openxmlformats.org/officeDocument/2006/relationships/hyperlink" Target="https://drive.google.com/drive/folders/1_SsFQmUwFM2mbFoqrcSWogmmDS3r5DZb" TargetMode="External"/><Relationship Id="rId44" Type="http://schemas.openxmlformats.org/officeDocument/2006/relationships/hyperlink" Target="https://www.sba.gov/funding-programs/disaster-assistance" TargetMode="External"/><Relationship Id="rId43" Type="http://schemas.openxmlformats.org/officeDocument/2006/relationships/hyperlink" Target="https://www.sba.gov/funding-programs/disaster-assistance" TargetMode="External"/><Relationship Id="rId46" Type="http://schemas.openxmlformats.org/officeDocument/2006/relationships/hyperlink" Target="https://www.sba.gov/funding-programs/disaster-assistance" TargetMode="External"/><Relationship Id="rId45" Type="http://schemas.openxmlformats.org/officeDocument/2006/relationships/hyperlink" Target="https://www.sba.gov/funding-programs/disaster-assistance" TargetMode="External"/><Relationship Id="rId80" Type="http://schemas.openxmlformats.org/officeDocument/2006/relationships/footer" Target="footer1.xml"/><Relationship Id="rId81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48" Type="http://schemas.openxmlformats.org/officeDocument/2006/relationships/hyperlink" Target="https://ibhs.org/guidance/businessdisasterguides/" TargetMode="External"/><Relationship Id="rId47" Type="http://schemas.openxmlformats.org/officeDocument/2006/relationships/hyperlink" Target="https://ibhs.org/guidance/businessdisasterguides/" TargetMode="External"/><Relationship Id="rId49" Type="http://schemas.openxmlformats.org/officeDocument/2006/relationships/hyperlink" Target="https://ibhs.org/guidance/businessdisasterguid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73" Type="http://schemas.openxmlformats.org/officeDocument/2006/relationships/hyperlink" Target="https://www.downtownboston.org/about/" TargetMode="External"/><Relationship Id="rId72" Type="http://schemas.openxmlformats.org/officeDocument/2006/relationships/hyperlink" Target="https://www.downtownboston.org/about/" TargetMode="External"/><Relationship Id="rId31" Type="http://schemas.openxmlformats.org/officeDocument/2006/relationships/hyperlink" Target="https://drive.google.com/drive/folders/14PC4eHYUMYY-fYgvOlAoBJfCc2dqVWCp" TargetMode="External"/><Relationship Id="rId75" Type="http://schemas.openxmlformats.org/officeDocument/2006/relationships/hyperlink" Target="mailto:alex@allstonvillage.com" TargetMode="External"/><Relationship Id="rId30" Type="http://schemas.openxmlformats.org/officeDocument/2006/relationships/hyperlink" Target="https://drive.google.com/drive/folders/14PC4eHYUMYY-fYgvOlAoBJfCc2dqVWCp" TargetMode="External"/><Relationship Id="rId74" Type="http://schemas.openxmlformats.org/officeDocument/2006/relationships/hyperlink" Target="https://www.downtownboston.org/about/" TargetMode="External"/><Relationship Id="rId33" Type="http://schemas.openxmlformats.org/officeDocument/2006/relationships/hyperlink" Target="https://www.fema.gov/assistance/individual" TargetMode="External"/><Relationship Id="rId77" Type="http://schemas.openxmlformats.org/officeDocument/2006/relationships/hyperlink" Target="mailto:Director@brightonmainstreets.org" TargetMode="External"/><Relationship Id="rId32" Type="http://schemas.openxmlformats.org/officeDocument/2006/relationships/hyperlink" Target="https://www.fema.gov/assistance/individual" TargetMode="External"/><Relationship Id="rId76" Type="http://schemas.openxmlformats.org/officeDocument/2006/relationships/hyperlink" Target="mailto:Director@brightonmainstreets.org" TargetMode="External"/><Relationship Id="rId35" Type="http://schemas.openxmlformats.org/officeDocument/2006/relationships/hyperlink" Target="https://www.fema.gov/assistance/individual" TargetMode="External"/><Relationship Id="rId79" Type="http://schemas.openxmlformats.org/officeDocument/2006/relationships/header" Target="header2.xml"/><Relationship Id="rId34" Type="http://schemas.openxmlformats.org/officeDocument/2006/relationships/hyperlink" Target="https://www.fema.gov/assistance/individual" TargetMode="External"/><Relationship Id="rId78" Type="http://schemas.openxmlformats.org/officeDocument/2006/relationships/header" Target="header1.xml"/><Relationship Id="rId71" Type="http://schemas.openxmlformats.org/officeDocument/2006/relationships/hyperlink" Target="mailto:info@bostonbid.org" TargetMode="External"/><Relationship Id="rId70" Type="http://schemas.openxmlformats.org/officeDocument/2006/relationships/hyperlink" Target="https://operationhope.org/programs/financial-disaster-recovery/" TargetMode="External"/><Relationship Id="rId37" Type="http://schemas.openxmlformats.org/officeDocument/2006/relationships/hyperlink" Target="https://drive.google.com/drive/folders/1_SsFQmUwFM2mbFoqrcSWogmmDS3r5DZb" TargetMode="External"/><Relationship Id="rId36" Type="http://schemas.openxmlformats.org/officeDocument/2006/relationships/hyperlink" Target="https://www.fema.gov/assistance/individual" TargetMode="External"/><Relationship Id="rId39" Type="http://schemas.openxmlformats.org/officeDocument/2006/relationships/hyperlink" Target="https://drive.google.com/drive/folders/1_SsFQmUwFM2mbFoqrcSWogmmDS3r5DZb" TargetMode="External"/><Relationship Id="rId38" Type="http://schemas.openxmlformats.org/officeDocument/2006/relationships/hyperlink" Target="https://drive.google.com/drive/folders/1_SsFQmUwFM2mbFoqrcSWogmmDS3r5DZb" TargetMode="External"/><Relationship Id="rId62" Type="http://schemas.openxmlformats.org/officeDocument/2006/relationships/hyperlink" Target="https://www.ready.gov/business" TargetMode="External"/><Relationship Id="rId61" Type="http://schemas.openxmlformats.org/officeDocument/2006/relationships/hyperlink" Target="https://www.disasterassistance.gov/" TargetMode="External"/><Relationship Id="rId20" Type="http://schemas.openxmlformats.org/officeDocument/2006/relationships/hyperlink" Target="https://drive.google.com/drive/folders/1UqSWlcHkmWyW6wAHX_SqpWy1xr867Xlg" TargetMode="External"/><Relationship Id="rId64" Type="http://schemas.openxmlformats.org/officeDocument/2006/relationships/hyperlink" Target="https://www.ready.gov/business" TargetMode="External"/><Relationship Id="rId63" Type="http://schemas.openxmlformats.org/officeDocument/2006/relationships/hyperlink" Target="https://www.ready.gov/business" TargetMode="External"/><Relationship Id="rId22" Type="http://schemas.openxmlformats.org/officeDocument/2006/relationships/hyperlink" Target="https://www.floodsmart.gov/get-insured/flood-insurance-provider" TargetMode="External"/><Relationship Id="rId66" Type="http://schemas.openxmlformats.org/officeDocument/2006/relationships/hyperlink" Target="https://www.fema.gov/business-industry/national-business-emergency-operations-center" TargetMode="External"/><Relationship Id="rId21" Type="http://schemas.openxmlformats.org/officeDocument/2006/relationships/hyperlink" Target="https://drive.google.com/drive/folders/1UqSWlcHkmWyW6wAHX_SqpWy1xr867Xlg" TargetMode="External"/><Relationship Id="rId65" Type="http://schemas.openxmlformats.org/officeDocument/2006/relationships/hyperlink" Target="https://www.fema.gov/business-industry/national-business-emergency-operations-center" TargetMode="External"/><Relationship Id="rId24" Type="http://schemas.openxmlformats.org/officeDocument/2006/relationships/hyperlink" Target="https://www.floodsmart.gov/get-insured/flood-insurance-provider" TargetMode="External"/><Relationship Id="rId68" Type="http://schemas.openxmlformats.org/officeDocument/2006/relationships/hyperlink" Target="https://operationhope.org/programs/financial-disaster-recovery/" TargetMode="External"/><Relationship Id="rId23" Type="http://schemas.openxmlformats.org/officeDocument/2006/relationships/hyperlink" Target="https://www.floodsmart.gov/get-insured/flood-insurance-provider" TargetMode="External"/><Relationship Id="rId67" Type="http://schemas.openxmlformats.org/officeDocument/2006/relationships/hyperlink" Target="https://www.fema.gov/business-industry/national-business-emergency-operations-center" TargetMode="External"/><Relationship Id="rId60" Type="http://schemas.openxmlformats.org/officeDocument/2006/relationships/hyperlink" Target="https://www.disasterassistance.gov/" TargetMode="External"/><Relationship Id="rId26" Type="http://schemas.openxmlformats.org/officeDocument/2006/relationships/hyperlink" Target="https://www.floodsmart.gov/get-insured/flood-insurance-provider" TargetMode="External"/><Relationship Id="rId25" Type="http://schemas.openxmlformats.org/officeDocument/2006/relationships/hyperlink" Target="https://www.floodsmart.gov/get-insured/flood-insurance-provider" TargetMode="External"/><Relationship Id="rId69" Type="http://schemas.openxmlformats.org/officeDocument/2006/relationships/hyperlink" Target="https://operationhope.org/programs/financial-disaster-recovery/" TargetMode="External"/><Relationship Id="rId28" Type="http://schemas.openxmlformats.org/officeDocument/2006/relationships/hyperlink" Target="https://drive.google.com/drive/folders/14PC4eHYUMYY-fYgvOlAoBJfCc2dqVWCp" TargetMode="External"/><Relationship Id="rId27" Type="http://schemas.openxmlformats.org/officeDocument/2006/relationships/hyperlink" Target="https://drive.google.com/drive/folders/14PC4eHYUMYY-fYgvOlAoBJfCc2dqVWCp" TargetMode="External"/><Relationship Id="rId29" Type="http://schemas.openxmlformats.org/officeDocument/2006/relationships/hyperlink" Target="https://drive.google.com/drive/folders/14PC4eHYUMYY-fYgvOlAoBJfCc2dqVWCp" TargetMode="External"/><Relationship Id="rId51" Type="http://schemas.openxmlformats.org/officeDocument/2006/relationships/hyperlink" Target="https://ibhs.org/guidance/businessdisasterguides/" TargetMode="External"/><Relationship Id="rId50" Type="http://schemas.openxmlformats.org/officeDocument/2006/relationships/hyperlink" Target="https://ibhs.org/guidance/businessdisasterguides/" TargetMode="External"/><Relationship Id="rId53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52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11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55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10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54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13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57" Type="http://schemas.openxmlformats.org/officeDocument/2006/relationships/hyperlink" Target="https://www.disasterassistance.gov/" TargetMode="External"/><Relationship Id="rId12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56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15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59" Type="http://schemas.openxmlformats.org/officeDocument/2006/relationships/hyperlink" Target="https://www.disasterassistance.gov/" TargetMode="External"/><Relationship Id="rId14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58" Type="http://schemas.openxmlformats.org/officeDocument/2006/relationships/hyperlink" Target="https://www.disasterassistance.gov/" TargetMode="External"/><Relationship Id="rId17" Type="http://schemas.openxmlformats.org/officeDocument/2006/relationships/hyperlink" Target="https://drive.google.com/drive/folders/1UqSWlcHkmWyW6wAHX_SqpWy1xr867Xlg" TargetMode="External"/><Relationship Id="rId16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19" Type="http://schemas.openxmlformats.org/officeDocument/2006/relationships/hyperlink" Target="https://drive.google.com/drive/folders/1UqSWlcHkmWyW6wAHX_SqpWy1xr867Xlg" TargetMode="External"/><Relationship Id="rId18" Type="http://schemas.openxmlformats.org/officeDocument/2006/relationships/hyperlink" Target="https://drive.google.com/drive/folders/1UqSWlcHkmWyW6wAHX_SqpWy1xr867Xl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mGhmGEGei2m8sL7c6SuA+Zo+w==">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